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8.00000000000006" w:lineRule="auto"/>
        <w:jc w:val="right"/>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Comunicado de prensa  17/07/2026</w:t>
      </w:r>
    </w:p>
    <w:p w:rsidR="00000000" w:rsidDel="00000000" w:rsidP="00000000" w:rsidRDefault="00000000" w:rsidRPr="00000000" w14:paraId="00000002">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spacing w:after="0" w:line="278.00000000000006"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SUPARA y la UTN firmaron un convenio para impulsar un plan nacional de higiene y seguridad laboral</w:t>
      </w:r>
    </w:p>
    <w:p w:rsidR="00000000" w:rsidDel="00000000" w:rsidP="00000000" w:rsidRDefault="00000000" w:rsidRPr="00000000" w14:paraId="00000004">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Sindicato Único del Personal Aduanero de la República Argentina (SUPARA), conducido por Daniel Mallotti, y la Universidad Tecnológica Nacional (UTN) firmaron un convenio marco destinado a fortalecer las políticas de higiene, seguridad y salud laboral para los trabajadores aduaneros de todo el país. El acuerdo permitirá poner en marcha la primera etapa de un proyecto de Auditoría Técnica Integral que contará con respaldo técnico y científico de la casa de estudios.</w:t>
      </w:r>
    </w:p>
    <w:p w:rsidR="00000000" w:rsidDel="00000000" w:rsidP="00000000" w:rsidRDefault="00000000" w:rsidRPr="00000000" w14:paraId="00000006">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firma del convenio se realizó el pasado 14 de julio en la sede del Rectorado de la UTN y fue encabezada por el secretario general de SUPARA, Daniel Mallotti, junto al rector de la universidad, Rubén Soro. También participaron la secretaria de Salud Laboral, Ambiente y Seguridad del Trabajo del sindicato, Silvina del Valle Rodríguez, y autoridades académicas de la institución.</w:t>
      </w:r>
    </w:p>
    <w:p w:rsidR="00000000" w:rsidDel="00000000" w:rsidP="00000000" w:rsidRDefault="00000000" w:rsidRPr="00000000" w14:paraId="00000008">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Según informaron desde SUPARA, el objetivo del acuerdo es desarrollar una estrategia de trabajo orientada a mejorar las condiciones de higiene, seguridad y medio ambiente en los distintos ámbitos laborales de la Aduana, mediante auditorías técnicas, programas de prevención y acciones de capacitación.</w:t>
      </w:r>
    </w:p>
    <w:p w:rsidR="00000000" w:rsidDel="00000000" w:rsidP="00000000" w:rsidRDefault="00000000" w:rsidRPr="00000000" w14:paraId="0000000A">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"Este convenio representa un paso muy importante para seguir fortaleciendo las condiciones de trabajo de las y los trabajadores aduaneros. Apostamos a la prevención, a la capacitación y al respaldo técnico de una institución de prestigio como la UTN para seguir construyendo ámbitos laborales cada vez más seguros", sostuvo el secretario general de SUPARA, Daniel Mallotti.</w:t>
      </w:r>
    </w:p>
    <w:p w:rsidR="00000000" w:rsidDel="00000000" w:rsidP="00000000" w:rsidRDefault="00000000" w:rsidRPr="00000000" w14:paraId="0000000C">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proyecto comenzará con una Auditoría Técnica Integral en Higiene, Seguridad y Medio Ambiente, que permitirá relevar la situación de los distintos lugares de trabajo y establecer lineamientos para futuras acciones de mejora en todo el ámbito aduanero.</w:t>
      </w:r>
    </w:p>
    <w:p w:rsidR="00000000" w:rsidDel="00000000" w:rsidP="00000000" w:rsidRDefault="00000000" w:rsidRPr="00000000" w14:paraId="0000000E">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Desde el gremio destacaron que la iniciativa busca consolidar una política de prevención permanente y fortalecer los estándares de seguridad laboral mediante el trabajo conjunto con el ámbito universitario.</w:t>
      </w:r>
    </w:p>
    <w:p w:rsidR="00000000" w:rsidDel="00000000" w:rsidP="00000000" w:rsidRDefault="00000000" w:rsidRPr="00000000" w14:paraId="00000010">
      <w:pPr>
        <w:spacing w:after="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spacing w:after="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 este convenio, SUPARA y la Universidad Tecnológica Nacional avanzan en una agenda conjunta destinada a promover mejores condiciones de trabajo, fortalecer la capacitación técnica y desarrollar herramientas que contribuyan a generar entornos laborales más seguros, saludables y sostenibles para el personal aduanero.</w:t>
      </w:r>
    </w:p>
    <w:p w:rsidR="00000000" w:rsidDel="00000000" w:rsidP="00000000" w:rsidRDefault="00000000" w:rsidRPr="00000000" w14:paraId="00000012">
      <w:pPr>
        <w:spacing w:after="16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Contactos de Prensa:</w:t>
      </w:r>
      <w:r w:rsidDel="00000000" w:rsidR="00000000" w:rsidRPr="00000000">
        <w:rPr>
          <w:rtl w:val="0"/>
        </w:rPr>
      </w:r>
    </w:p>
    <w:p w:rsidR="00000000" w:rsidDel="00000000" w:rsidP="00000000" w:rsidRDefault="00000000" w:rsidRPr="00000000" w14:paraId="00000014">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Magalí Laboret – Cel. (011) 6350-0746 </w:t>
      </w:r>
    </w:p>
    <w:p w:rsidR="00000000" w:rsidDel="00000000" w:rsidP="00000000" w:rsidRDefault="00000000" w:rsidRPr="00000000" w14:paraId="00000015">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Lisandro Machado – Cel. (011) 3632-1200</w:t>
      </w:r>
    </w:p>
    <w:p w:rsidR="00000000" w:rsidDel="00000000" w:rsidP="00000000" w:rsidRDefault="00000000" w:rsidRPr="00000000" w14:paraId="00000016">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Gabriel Padula – Cel. (011) 5708-0106</w:t>
      </w:r>
    </w:p>
    <w:p w:rsidR="00000000" w:rsidDel="00000000" w:rsidP="00000000" w:rsidRDefault="00000000" w:rsidRPr="00000000" w14:paraId="00000017">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Francisco Vera Golé – Cel. (011) 3174-3090</w:t>
      </w:r>
    </w:p>
    <w:p w:rsidR="00000000" w:rsidDel="00000000" w:rsidP="00000000" w:rsidRDefault="00000000" w:rsidRPr="00000000" w14:paraId="00000018">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9">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Redes:</w:t>
      </w:r>
      <w:r w:rsidDel="00000000" w:rsidR="00000000" w:rsidRPr="00000000">
        <w:rPr>
          <w:rtl w:val="0"/>
        </w:rPr>
      </w:r>
    </w:p>
    <w:p w:rsidR="00000000" w:rsidDel="00000000" w:rsidP="00000000" w:rsidRDefault="00000000" w:rsidRPr="00000000" w14:paraId="0000001A">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Facebook:</w:t>
      </w:r>
      <w:r w:rsidDel="00000000" w:rsidR="00000000" w:rsidRPr="00000000">
        <w:rPr>
          <w:rFonts w:ascii="Verdana" w:cs="Verdana" w:eastAsia="Verdana" w:hAnsi="Verdana"/>
          <w:sz w:val="24"/>
          <w:szCs w:val="24"/>
          <w:rtl w:val="0"/>
        </w:rPr>
        <w:t xml:space="preserve"> sindicato.supara</w:t>
      </w:r>
    </w:p>
    <w:p w:rsidR="00000000" w:rsidDel="00000000" w:rsidP="00000000" w:rsidRDefault="00000000" w:rsidRPr="00000000" w14:paraId="0000001B">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Instagram:</w:t>
      </w:r>
      <w:r w:rsidDel="00000000" w:rsidR="00000000" w:rsidRPr="00000000">
        <w:rPr>
          <w:rFonts w:ascii="Verdana" w:cs="Verdana" w:eastAsia="Verdana" w:hAnsi="Verdana"/>
          <w:sz w:val="24"/>
          <w:szCs w:val="24"/>
          <w:rtl w:val="0"/>
        </w:rPr>
        <w:t xml:space="preserve"> /suparasindicato</w:t>
      </w:r>
    </w:p>
    <w:p w:rsidR="00000000" w:rsidDel="00000000" w:rsidP="00000000" w:rsidRDefault="00000000" w:rsidRPr="00000000" w14:paraId="0000001C">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rtl w:val="0"/>
        </w:rPr>
        <w:t xml:space="preserve">Twitter:</w:t>
      </w:r>
      <w:r w:rsidDel="00000000" w:rsidR="00000000" w:rsidRPr="00000000">
        <w:rPr>
          <w:rFonts w:ascii="Verdana" w:cs="Verdana" w:eastAsia="Verdana" w:hAnsi="Verdana"/>
          <w:sz w:val="24"/>
          <w:szCs w:val="24"/>
          <w:rtl w:val="0"/>
        </w:rPr>
        <w:t xml:space="preserve"> SindicatoSupara</w:t>
      </w:r>
    </w:p>
    <w:p w:rsidR="00000000" w:rsidDel="00000000" w:rsidP="00000000" w:rsidRDefault="00000000" w:rsidRPr="00000000" w14:paraId="0000001D">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