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3B" w:rsidRDefault="001054CA" w:rsidP="001054CA">
      <w:pPr>
        <w:rPr>
          <w:rFonts w:ascii="Roboto" w:eastAsia="Roboto" w:hAnsi="Roboto" w:cs="Roboto"/>
          <w:sz w:val="21"/>
          <w:szCs w:val="21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b/>
          <w:color w:val="3D85C6"/>
          <w:sz w:val="21"/>
          <w:szCs w:val="21"/>
          <w:highlight w:val="white"/>
        </w:rPr>
        <w:t>Fuente</w:t>
      </w:r>
      <w:r>
        <w:rPr>
          <w:rFonts w:ascii="Roboto" w:eastAsia="Roboto" w:hAnsi="Roboto" w:cs="Roboto"/>
          <w:sz w:val="21"/>
          <w:szCs w:val="21"/>
          <w:highlight w:val="white"/>
        </w:rPr>
        <w:t>:</w:t>
      </w:r>
    </w:p>
    <w:p w:rsidR="00CC693B" w:rsidRDefault="001054CA" w:rsidP="001054CA">
      <w:pPr>
        <w:spacing w:after="200"/>
        <w:rPr>
          <w:rFonts w:ascii="Roboto" w:eastAsia="Roboto" w:hAnsi="Roboto" w:cs="Roboto"/>
          <w:sz w:val="18"/>
          <w:szCs w:val="18"/>
          <w:highlight w:val="white"/>
        </w:rPr>
      </w:pPr>
      <w:hyperlink r:id="rId6">
        <w:r>
          <w:rPr>
            <w:rFonts w:ascii="Roboto" w:eastAsia="Roboto" w:hAnsi="Roboto" w:cs="Roboto"/>
            <w:b/>
            <w:color w:val="1155CC"/>
            <w:sz w:val="21"/>
            <w:szCs w:val="21"/>
            <w:highlight w:val="white"/>
            <w:u w:val="single"/>
          </w:rPr>
          <w:t>GASTÓN BOIREAU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>
        <w:rPr>
          <w:rFonts w:ascii="Roboto" w:eastAsia="Roboto" w:hAnsi="Roboto" w:cs="Roboto"/>
          <w:sz w:val="18"/>
          <w:szCs w:val="18"/>
          <w:highlight w:val="white"/>
        </w:rPr>
        <w:t>(</w:t>
      </w:r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 xml:space="preserve">Especialista en Aprendizaje y Desarrollo con Enfoque en Diversidad e Inclusión en </w:t>
      </w:r>
      <w:hyperlink r:id="rId7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DEIBme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 xml:space="preserve">. </w:t>
      </w:r>
      <w:r>
        <w:rPr>
          <w:rFonts w:ascii="Roboto" w:eastAsia="Roboto" w:hAnsi="Roboto" w:cs="Roboto"/>
          <w:color w:val="0B5394"/>
          <w:sz w:val="18"/>
          <w:szCs w:val="18"/>
          <w:highlight w:val="white"/>
        </w:rPr>
        <w:t xml:space="preserve">Miembro Comunidad DEI </w:t>
      </w:r>
      <w:hyperlink r:id="rId8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AdRHA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>)</w:t>
      </w:r>
    </w:p>
    <w:p w:rsidR="00CC693B" w:rsidRDefault="001054CA" w:rsidP="001054CA">
      <w:pPr>
        <w:rPr>
          <w:rFonts w:ascii="Roboto" w:eastAsia="Roboto" w:hAnsi="Roboto" w:cs="Roboto"/>
          <w:sz w:val="18"/>
          <w:szCs w:val="18"/>
          <w:highlight w:val="white"/>
        </w:rPr>
      </w:pPr>
      <w:hyperlink r:id="rId9">
        <w:r>
          <w:rPr>
            <w:rFonts w:ascii="Roboto" w:eastAsia="Roboto" w:hAnsi="Roboto" w:cs="Roboto"/>
            <w:b/>
            <w:color w:val="1155CC"/>
            <w:sz w:val="21"/>
            <w:szCs w:val="21"/>
            <w:highlight w:val="white"/>
            <w:u w:val="single"/>
          </w:rPr>
          <w:t>LUIS ETCHENIQUE</w:t>
        </w:r>
      </w:hyperlink>
      <w:r>
        <w:rPr>
          <w:rFonts w:ascii="Roboto" w:eastAsia="Roboto" w:hAnsi="Roboto" w:cs="Roboto"/>
          <w:sz w:val="21"/>
          <w:szCs w:val="21"/>
          <w:highlight w:val="white"/>
        </w:rPr>
        <w:t xml:space="preserve"> </w:t>
      </w:r>
      <w:r>
        <w:rPr>
          <w:rFonts w:ascii="Roboto" w:eastAsia="Roboto" w:hAnsi="Roboto" w:cs="Roboto"/>
          <w:sz w:val="18"/>
          <w:szCs w:val="18"/>
          <w:highlight w:val="white"/>
        </w:rPr>
        <w:t>(</w:t>
      </w:r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 xml:space="preserve">Consultor </w:t>
      </w:r>
      <w:proofErr w:type="spellStart"/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>Senior</w:t>
      </w:r>
      <w:proofErr w:type="spellEnd"/>
      <w:r>
        <w:rPr>
          <w:rFonts w:ascii="Roboto" w:eastAsia="Roboto" w:hAnsi="Roboto" w:cs="Roboto"/>
          <w:color w:val="38761D"/>
          <w:sz w:val="18"/>
          <w:szCs w:val="18"/>
          <w:highlight w:val="white"/>
        </w:rPr>
        <w:t xml:space="preserve"> en Diversidad, Equidad, Inclusión y Pertenencia en </w:t>
      </w:r>
      <w:hyperlink r:id="rId10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DEIBme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 xml:space="preserve">. </w:t>
      </w:r>
      <w:r>
        <w:rPr>
          <w:rFonts w:ascii="Roboto" w:eastAsia="Roboto" w:hAnsi="Roboto" w:cs="Roboto"/>
          <w:color w:val="0B5394"/>
          <w:sz w:val="18"/>
          <w:szCs w:val="18"/>
          <w:highlight w:val="white"/>
        </w:rPr>
        <w:t xml:space="preserve">Coordinador Comunidad DEI y Director Certificación DEI en </w:t>
      </w:r>
      <w:hyperlink r:id="rId11">
        <w:proofErr w:type="spellStart"/>
        <w:r>
          <w:rPr>
            <w:rFonts w:ascii="Roboto" w:eastAsia="Roboto" w:hAnsi="Roboto" w:cs="Roboto"/>
            <w:color w:val="1155CC"/>
            <w:sz w:val="18"/>
            <w:szCs w:val="18"/>
            <w:highlight w:val="white"/>
            <w:u w:val="single"/>
          </w:rPr>
          <w:t>AdRHA</w:t>
        </w:r>
        <w:proofErr w:type="spellEnd"/>
      </w:hyperlink>
      <w:r>
        <w:rPr>
          <w:rFonts w:ascii="Roboto" w:eastAsia="Roboto" w:hAnsi="Roboto" w:cs="Roboto"/>
          <w:sz w:val="18"/>
          <w:szCs w:val="18"/>
          <w:highlight w:val="white"/>
        </w:rPr>
        <w:t>).</w:t>
      </w:r>
    </w:p>
    <w:p w:rsidR="00CC693B" w:rsidRDefault="00CC693B" w:rsidP="001054CA">
      <w:pPr>
        <w:rPr>
          <w:rFonts w:ascii="Roboto" w:eastAsia="Roboto" w:hAnsi="Roboto" w:cs="Roboto"/>
          <w:sz w:val="21"/>
          <w:szCs w:val="21"/>
          <w:highlight w:val="white"/>
        </w:rPr>
      </w:pPr>
    </w:p>
    <w:p w:rsidR="00CC693B" w:rsidRDefault="001054CA" w:rsidP="001054CA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color w:val="3D85C6"/>
          <w:sz w:val="21"/>
          <w:szCs w:val="21"/>
          <w:highlight w:val="white"/>
        </w:rPr>
        <w:t>Referencia de contacto</w:t>
      </w:r>
      <w:r>
        <w:rPr>
          <w:rFonts w:ascii="Roboto" w:eastAsia="Roboto" w:hAnsi="Roboto" w:cs="Roboto"/>
          <w:sz w:val="21"/>
          <w:szCs w:val="21"/>
          <w:highlight w:val="white"/>
        </w:rPr>
        <w:t>:</w:t>
      </w:r>
      <w:r>
        <w:rPr>
          <w:rFonts w:ascii="Roboto" w:eastAsia="Roboto" w:hAnsi="Roboto" w:cs="Roboto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b/>
          <w:sz w:val="20"/>
          <w:szCs w:val="20"/>
          <w:highlight w:val="white"/>
        </w:rPr>
        <w:t>GASTON BOIREAU LAHORE</w:t>
      </w:r>
      <w:r>
        <w:rPr>
          <w:rFonts w:ascii="Roboto" w:eastAsia="Roboto" w:hAnsi="Roboto" w:cs="Roboto"/>
          <w:sz w:val="20"/>
          <w:szCs w:val="20"/>
          <w:highlight w:val="white"/>
        </w:rPr>
        <w:br/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Partner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DEIBme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>, Especialista en Aprendizaje y Desarrollo con enfoque en Diversidad e Inclusión</w:t>
      </w:r>
      <w:r>
        <w:rPr>
          <w:rFonts w:ascii="Roboto" w:eastAsia="Roboto" w:hAnsi="Roboto" w:cs="Roboto"/>
          <w:sz w:val="20"/>
          <w:szCs w:val="20"/>
          <w:highlight w:val="white"/>
        </w:rPr>
        <w:br/>
      </w:r>
      <w:r>
        <w:rPr>
          <w:rFonts w:ascii="Roboto" w:eastAsia="Roboto" w:hAnsi="Roboto" w:cs="Roboto"/>
          <w:b/>
          <w:sz w:val="20"/>
          <w:szCs w:val="20"/>
          <w:highlight w:val="white"/>
        </w:rPr>
        <w:t>Correo electrónico</w:t>
      </w:r>
      <w:r>
        <w:rPr>
          <w:rFonts w:ascii="Roboto" w:eastAsia="Roboto" w:hAnsi="Roboto" w:cs="Roboto"/>
          <w:sz w:val="20"/>
          <w:szCs w:val="20"/>
          <w:highlight w:val="white"/>
        </w:rPr>
        <w:t>: equipo@deibme.com</w:t>
      </w:r>
    </w:p>
    <w:p w:rsidR="00CC693B" w:rsidRDefault="001054CA" w:rsidP="001054CA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b/>
          <w:sz w:val="20"/>
          <w:szCs w:val="20"/>
          <w:highlight w:val="white"/>
        </w:rPr>
        <w:t>Teléfono (</w:t>
      </w:r>
      <w:proofErr w:type="spellStart"/>
      <w:r>
        <w:rPr>
          <w:rFonts w:ascii="Roboto" w:eastAsia="Roboto" w:hAnsi="Roboto" w:cs="Roboto"/>
          <w:b/>
          <w:sz w:val="20"/>
          <w:szCs w:val="20"/>
          <w:highlight w:val="white"/>
        </w:rPr>
        <w:t>WhatsApp</w:t>
      </w:r>
      <w:proofErr w:type="spellEnd"/>
      <w:r>
        <w:rPr>
          <w:rFonts w:ascii="Roboto" w:eastAsia="Roboto" w:hAnsi="Roboto" w:cs="Roboto"/>
          <w:b/>
          <w:sz w:val="20"/>
          <w:szCs w:val="20"/>
          <w:highlight w:val="white"/>
        </w:rPr>
        <w:t>)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: </w:t>
      </w:r>
      <w:bdo w:val="ltr">
        <w:r>
          <w:rPr>
            <w:rFonts w:ascii="Roboto" w:eastAsia="Roboto" w:hAnsi="Roboto" w:cs="Roboto"/>
            <w:sz w:val="20"/>
            <w:szCs w:val="20"/>
            <w:highlight w:val="white"/>
          </w:rPr>
          <w:t>11 6676 3942</w:t>
        </w:r>
        <w:r>
          <w:rPr>
            <w:rFonts w:ascii="Roboto" w:eastAsia="Roboto" w:hAnsi="Roboto" w:cs="Roboto"/>
            <w:sz w:val="20"/>
            <w:szCs w:val="20"/>
            <w:highlight w:val="white"/>
          </w:rPr>
          <w:t>‬</w:t>
        </w:r>
      </w:bdo>
    </w:p>
    <w:p w:rsidR="00CC693B" w:rsidRDefault="001054CA" w:rsidP="001054CA">
      <w:pPr>
        <w:rPr>
          <w:b/>
          <w:sz w:val="46"/>
          <w:szCs w:val="46"/>
        </w:rPr>
      </w:pPr>
      <w:r>
        <w:pict>
          <v:rect id="_x0000_i1025" style="width:0;height:1.5pt" o:hrstd="t" o:hr="t" fillcolor="#a0a0a0" stroked="f"/>
        </w:pict>
      </w:r>
      <w:r>
        <w:rPr>
          <w:b/>
          <w:sz w:val="46"/>
          <w:szCs w:val="46"/>
        </w:rPr>
        <w:t xml:space="preserve">Relevamiento DEI 2025 LATAM inicia su convocatoria con el impulso de la Comunidad DEIB de </w:t>
      </w:r>
      <w:proofErr w:type="spellStart"/>
      <w:r>
        <w:rPr>
          <w:b/>
          <w:sz w:val="46"/>
          <w:szCs w:val="46"/>
        </w:rPr>
        <w:t>AdRHA</w:t>
      </w:r>
      <w:proofErr w:type="spellEnd"/>
      <w:r>
        <w:rPr>
          <w:b/>
          <w:sz w:val="46"/>
          <w:szCs w:val="46"/>
        </w:rPr>
        <w:t xml:space="preserve"> y </w:t>
      </w:r>
      <w:proofErr w:type="spellStart"/>
      <w:r>
        <w:rPr>
          <w:b/>
          <w:sz w:val="46"/>
          <w:szCs w:val="46"/>
        </w:rPr>
        <w:t>DEIBme</w:t>
      </w:r>
      <w:proofErr w:type="spellEnd"/>
      <w:r>
        <w:rPr>
          <w:b/>
          <w:sz w:val="46"/>
          <w:szCs w:val="46"/>
        </w:rPr>
        <w:t>.</w:t>
      </w:r>
    </w:p>
    <w:p w:rsidR="00CC693B" w:rsidRDefault="001054CA" w:rsidP="001054CA">
      <w:pPr>
        <w:spacing w:before="240" w:after="24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El estudio aspira a recoger cientos de voces en América Latina para trazar un mapa actualizado sobre diversidad, equidad, inclusión y pertenencia en l</w:t>
      </w:r>
      <w:r>
        <w:rPr>
          <w:i/>
          <w:sz w:val="20"/>
          <w:szCs w:val="20"/>
        </w:rPr>
        <w:t>os lugares de trabajo.</w:t>
      </w:r>
    </w:p>
    <w:p w:rsidR="00CC693B" w:rsidRDefault="001054CA" w:rsidP="001054CA">
      <w:pPr>
        <w:spacing w:before="240" w:after="24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Buenos Aires, 18 de junio de 2025</w:t>
      </w:r>
      <w:r>
        <w:rPr>
          <w:sz w:val="20"/>
          <w:szCs w:val="20"/>
        </w:rPr>
        <w:t xml:space="preserve"> — El equipo de especialistas de la consultora </w:t>
      </w:r>
      <w:proofErr w:type="spellStart"/>
      <w:r>
        <w:rPr>
          <w:sz w:val="20"/>
          <w:szCs w:val="20"/>
        </w:rPr>
        <w:t>DEIBme</w:t>
      </w:r>
      <w:proofErr w:type="spellEnd"/>
      <w:r>
        <w:rPr>
          <w:sz w:val="20"/>
          <w:szCs w:val="20"/>
        </w:rPr>
        <w:t xml:space="preserve"> y la Comunidad DEIB de la Asociación de Recursos Humanos de la Argentina (</w:t>
      </w:r>
      <w:proofErr w:type="spellStart"/>
      <w:r>
        <w:rPr>
          <w:sz w:val="20"/>
          <w:szCs w:val="20"/>
        </w:rPr>
        <w:t>AdRHA</w:t>
      </w:r>
      <w:proofErr w:type="spellEnd"/>
      <w:r>
        <w:rPr>
          <w:sz w:val="20"/>
          <w:szCs w:val="20"/>
        </w:rPr>
        <w:t>) anuncian la puesta en marcha del Relevamiento DEI 2025 LATAM, una</w:t>
      </w:r>
      <w:r>
        <w:rPr>
          <w:sz w:val="20"/>
          <w:szCs w:val="20"/>
        </w:rPr>
        <w:t xml:space="preserve"> investigación regional que combina datos cuantitativos y cualitativos para comprender con mayor precisión cómo se viven la diversidad, la equidad, </w:t>
      </w: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inclusión y la pertenencia dentro de las organizaciones de la región.</w:t>
      </w:r>
    </w:p>
    <w:p w:rsidR="00CC693B" w:rsidRDefault="001054CA" w:rsidP="001054CA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El cuestionario, disponible en </w:t>
      </w:r>
      <w:r>
        <w:rPr>
          <w:b/>
          <w:sz w:val="20"/>
          <w:szCs w:val="20"/>
        </w:rPr>
        <w:t>deib</w:t>
      </w:r>
      <w:r>
        <w:rPr>
          <w:b/>
          <w:sz w:val="20"/>
          <w:szCs w:val="20"/>
        </w:rPr>
        <w:t>me.com/relevamiento2025</w:t>
      </w:r>
      <w:r>
        <w:rPr>
          <w:sz w:val="20"/>
          <w:szCs w:val="20"/>
        </w:rPr>
        <w:t>, invita tanto a personas como a organizaciones de todos los sectores y tamaños a compartir percepciones, experiencias y desafíos vinculados a políticas inclusivas, accesibilidad, sentido de pertenencia, sesgos inconscientes y futuro</w:t>
      </w:r>
      <w:r>
        <w:rPr>
          <w:sz w:val="20"/>
          <w:szCs w:val="20"/>
        </w:rPr>
        <w:t xml:space="preserve"> del trabajo; apoyándose sobre cinco bloques. Cada participante puede elegir las secciones en las que desea responder y todas las contribuciones se procesan de forma anónima, garantizando confidencialidad y rigor del estudio.</w:t>
      </w:r>
    </w:p>
    <w:p w:rsidR="00CC693B" w:rsidRDefault="001054CA" w:rsidP="001054CA">
      <w:pPr>
        <w:spacing w:line="360" w:lineRule="auto"/>
        <w:ind w:left="220"/>
        <w:rPr>
          <w:color w:val="0E0E0E"/>
          <w:sz w:val="21"/>
          <w:szCs w:val="21"/>
        </w:rPr>
      </w:pPr>
      <w:r>
        <w:rPr>
          <w:color w:val="0E0E0E"/>
          <w:sz w:val="21"/>
          <w:szCs w:val="21"/>
        </w:rPr>
        <w:t>“</w:t>
      </w:r>
      <w:r>
        <w:rPr>
          <w:b/>
          <w:color w:val="0E0E0E"/>
          <w:sz w:val="21"/>
          <w:szCs w:val="21"/>
        </w:rPr>
        <w:t>Frente al retroceso de muchas</w:t>
      </w:r>
      <w:r>
        <w:rPr>
          <w:b/>
          <w:color w:val="0E0E0E"/>
          <w:sz w:val="21"/>
          <w:szCs w:val="21"/>
        </w:rPr>
        <w:t xml:space="preserve"> políticas de inclusión en América Latina, necesitamos evidencias que hablen desde nuestra región, con nuestras voces y nuestros matices. Este relevamiento busca ser una herramienta de investigación aplicada para ayudar a equipos directivos, áreas de talen</w:t>
      </w:r>
      <w:r>
        <w:rPr>
          <w:b/>
          <w:color w:val="0E0E0E"/>
          <w:sz w:val="21"/>
          <w:szCs w:val="21"/>
        </w:rPr>
        <w:t>to y liderazgo a tomar mejores decisiones, basadas en datos concretos y en lo que las personas viven cotidianamente en sus trabajos.</w:t>
      </w:r>
      <w:r>
        <w:rPr>
          <w:b/>
          <w:color w:val="0E0E0E"/>
          <w:sz w:val="21"/>
          <w:szCs w:val="21"/>
        </w:rPr>
        <w:br/>
      </w:r>
      <w:r>
        <w:rPr>
          <w:color w:val="0E0E0E"/>
          <w:sz w:val="21"/>
          <w:szCs w:val="21"/>
        </w:rPr>
        <w:t xml:space="preserve">Queremos identificar brechas, sí, pero también visibilizar prácticas que están funcionando y que </w:t>
      </w:r>
      <w:r>
        <w:rPr>
          <w:color w:val="0E0E0E"/>
          <w:sz w:val="21"/>
          <w:szCs w:val="21"/>
        </w:rPr>
        <w:lastRenderedPageBreak/>
        <w:t>pueden inspirar a otras or</w:t>
      </w:r>
      <w:r>
        <w:rPr>
          <w:color w:val="0E0E0E"/>
          <w:sz w:val="21"/>
          <w:szCs w:val="21"/>
        </w:rPr>
        <w:t xml:space="preserve">ganizaciones”, explican </w:t>
      </w:r>
      <w:r>
        <w:rPr>
          <w:b/>
          <w:color w:val="0E0E0E"/>
          <w:sz w:val="21"/>
          <w:szCs w:val="21"/>
        </w:rPr>
        <w:t xml:space="preserve">Cecilia </w:t>
      </w:r>
      <w:proofErr w:type="spellStart"/>
      <w:r>
        <w:rPr>
          <w:b/>
          <w:color w:val="0E0E0E"/>
          <w:sz w:val="21"/>
          <w:szCs w:val="21"/>
        </w:rPr>
        <w:t>Klappenbach</w:t>
      </w:r>
      <w:proofErr w:type="spellEnd"/>
      <w:r>
        <w:rPr>
          <w:color w:val="0E0E0E"/>
          <w:sz w:val="21"/>
          <w:szCs w:val="21"/>
        </w:rPr>
        <w:t xml:space="preserve">, </w:t>
      </w:r>
      <w:r>
        <w:rPr>
          <w:b/>
          <w:color w:val="0E0E0E"/>
          <w:sz w:val="21"/>
          <w:szCs w:val="21"/>
        </w:rPr>
        <w:t xml:space="preserve">Luis </w:t>
      </w:r>
      <w:proofErr w:type="spellStart"/>
      <w:r>
        <w:rPr>
          <w:b/>
          <w:color w:val="0E0E0E"/>
          <w:sz w:val="21"/>
          <w:szCs w:val="21"/>
        </w:rPr>
        <w:t>Etchenique</w:t>
      </w:r>
      <w:proofErr w:type="spellEnd"/>
      <w:r>
        <w:rPr>
          <w:color w:val="0E0E0E"/>
          <w:sz w:val="21"/>
          <w:szCs w:val="21"/>
        </w:rPr>
        <w:t xml:space="preserve"> y </w:t>
      </w:r>
      <w:r>
        <w:rPr>
          <w:b/>
          <w:color w:val="0E0E0E"/>
          <w:sz w:val="21"/>
          <w:szCs w:val="21"/>
        </w:rPr>
        <w:t xml:space="preserve">Gastón </w:t>
      </w:r>
      <w:proofErr w:type="spellStart"/>
      <w:r>
        <w:rPr>
          <w:b/>
          <w:color w:val="0E0E0E"/>
          <w:sz w:val="21"/>
          <w:szCs w:val="21"/>
        </w:rPr>
        <w:t>Boireau</w:t>
      </w:r>
      <w:proofErr w:type="spellEnd"/>
      <w:r>
        <w:rPr>
          <w:b/>
          <w:color w:val="0E0E0E"/>
          <w:sz w:val="21"/>
          <w:szCs w:val="21"/>
        </w:rPr>
        <w:t xml:space="preserve"> Lahore</w:t>
      </w:r>
      <w:r>
        <w:rPr>
          <w:color w:val="0E0E0E"/>
          <w:sz w:val="21"/>
          <w:szCs w:val="21"/>
        </w:rPr>
        <w:t xml:space="preserve">, referentes del estudio e integrantes de la Comunidad DEIB de </w:t>
      </w:r>
      <w:proofErr w:type="spellStart"/>
      <w:r>
        <w:rPr>
          <w:color w:val="0E0E0E"/>
          <w:sz w:val="21"/>
          <w:szCs w:val="21"/>
        </w:rPr>
        <w:t>AdRHA</w:t>
      </w:r>
      <w:proofErr w:type="spellEnd"/>
      <w:r>
        <w:rPr>
          <w:color w:val="0E0E0E"/>
          <w:sz w:val="21"/>
          <w:szCs w:val="21"/>
        </w:rPr>
        <w:t xml:space="preserve"> y del equipo de investigación de </w:t>
      </w:r>
      <w:proofErr w:type="spellStart"/>
      <w:r>
        <w:rPr>
          <w:color w:val="0E0E0E"/>
          <w:sz w:val="21"/>
          <w:szCs w:val="21"/>
        </w:rPr>
        <w:t>DEIBme</w:t>
      </w:r>
      <w:proofErr w:type="spellEnd"/>
      <w:r>
        <w:rPr>
          <w:color w:val="0E0E0E"/>
          <w:sz w:val="21"/>
          <w:szCs w:val="21"/>
        </w:rPr>
        <w:t>.</w:t>
      </w:r>
    </w:p>
    <w:p w:rsidR="00CC693B" w:rsidRDefault="00CC693B" w:rsidP="001054CA">
      <w:pPr>
        <w:spacing w:before="240" w:after="240" w:line="360" w:lineRule="auto"/>
        <w:rPr>
          <w:sz w:val="20"/>
          <w:szCs w:val="20"/>
        </w:rPr>
      </w:pPr>
    </w:p>
    <w:p w:rsidR="00CC693B" w:rsidRDefault="001054CA" w:rsidP="001054CA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>El estudio se apoya en un diseño metodológico elaborado entre</w:t>
      </w:r>
      <w:r>
        <w:rPr>
          <w:sz w:val="20"/>
          <w:szCs w:val="20"/>
        </w:rPr>
        <w:t xml:space="preserve"> febrero y marzo, validado por especialistas en género, discapacidad y colectivos LGBTQ+. Entre abril y junio se identificaron entidades de referencia —cámaras empresarias, asociaciones profesionales, redes y colectivos de diversidad, género, discapacidad,</w:t>
      </w:r>
      <w:r>
        <w:rPr>
          <w:sz w:val="20"/>
          <w:szCs w:val="20"/>
        </w:rPr>
        <w:t xml:space="preserve"> +45, colectivos </w:t>
      </w:r>
      <w:proofErr w:type="spellStart"/>
      <w:r>
        <w:rPr>
          <w:sz w:val="20"/>
          <w:szCs w:val="20"/>
        </w:rPr>
        <w:t>subrepresentados</w:t>
      </w:r>
      <w:proofErr w:type="spellEnd"/>
      <w:r>
        <w:rPr>
          <w:sz w:val="20"/>
          <w:szCs w:val="20"/>
        </w:rPr>
        <w:t>— a las que se sumarán organizaciones adicionales durante la etapa de recolección de datos, prevista entre junio y julio. La encuesta permanecerá abierta hasta el 31 de julio inclusive, y los resultados preliminares se pres</w:t>
      </w:r>
      <w:r>
        <w:rPr>
          <w:sz w:val="20"/>
          <w:szCs w:val="20"/>
        </w:rPr>
        <w:t>entarán en agosto en un informe regional que ofrecerá análisis comparativos, buenas prácticas y recomendaciones accionables.</w:t>
      </w:r>
    </w:p>
    <w:p w:rsidR="00CC693B" w:rsidRDefault="001054CA" w:rsidP="001054CA">
      <w:pPr>
        <w:spacing w:before="240" w:after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urgencia de esta iniciativa se refuerza con indicadores recientes: en Brasil, las mujeres </w:t>
      </w:r>
      <w:proofErr w:type="spellStart"/>
      <w:r>
        <w:rPr>
          <w:sz w:val="20"/>
          <w:szCs w:val="20"/>
        </w:rPr>
        <w:t>afrodescendientes</w:t>
      </w:r>
      <w:proofErr w:type="spellEnd"/>
      <w:r>
        <w:rPr>
          <w:sz w:val="20"/>
          <w:szCs w:val="20"/>
        </w:rPr>
        <w:t xml:space="preserve"> perciben en promedio</w:t>
      </w:r>
      <w:r>
        <w:rPr>
          <w:sz w:val="20"/>
          <w:szCs w:val="20"/>
        </w:rPr>
        <w:t xml:space="preserve"> 43% por ciento menos que los hombres blancos; en Argentina apenas 0,6% por ciento de los cargos directivos están ocupados por personas con discapacidad; y en Colombia 78% por ciento del talento LGBTQ+ considera que revelar su orientación afectaría sus pos</w:t>
      </w:r>
      <w:r>
        <w:rPr>
          <w:sz w:val="20"/>
          <w:szCs w:val="20"/>
        </w:rPr>
        <w:t xml:space="preserve">ibilidades de ascenso. </w:t>
      </w:r>
    </w:p>
    <w:p w:rsidR="00CC693B" w:rsidRDefault="001054CA" w:rsidP="001054C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Cómo participar desde la próxima semana:</w:t>
      </w:r>
    </w:p>
    <w:p w:rsidR="00CC693B" w:rsidRDefault="001054CA" w:rsidP="001054C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Completar el formulario en línea (aproximadamente diez minutos, opción de elegir secciones).</w:t>
      </w:r>
    </w:p>
    <w:p w:rsidR="00CC693B" w:rsidRDefault="001054CA" w:rsidP="001054C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Difundir el enlace entre colegas y redes profesionales para ampliar la muestra y la representativi</w:t>
      </w:r>
      <w:r>
        <w:rPr>
          <w:sz w:val="20"/>
          <w:szCs w:val="20"/>
        </w:rPr>
        <w:t>dad.</w:t>
      </w:r>
    </w:p>
    <w:p w:rsidR="00CC693B" w:rsidRDefault="001054CA" w:rsidP="001054CA">
      <w:pPr>
        <w:numPr>
          <w:ilvl w:val="0"/>
          <w:numId w:val="1"/>
        </w:numPr>
        <w:spacing w:after="240" w:line="360" w:lineRule="auto"/>
        <w:rPr>
          <w:sz w:val="20"/>
          <w:szCs w:val="20"/>
        </w:rPr>
      </w:pPr>
      <w:r>
        <w:rPr>
          <w:sz w:val="20"/>
          <w:szCs w:val="20"/>
        </w:rPr>
        <w:t>Dejar un correo de contacto para recibir el informe ejecutivo con los principales aprendizajes.</w:t>
      </w:r>
    </w:p>
    <w:p w:rsidR="00CC693B" w:rsidRDefault="001054CA" w:rsidP="001054CA">
      <w:pPr>
        <w:spacing w:before="240" w:after="240" w:line="360" w:lineRule="auto"/>
        <w:rPr>
          <w:sz w:val="20"/>
          <w:szCs w:val="20"/>
        </w:rPr>
      </w:pPr>
      <w:r>
        <w:pict>
          <v:rect id="_x0000_i1026" style="width:0;height:1.5pt" o:hrstd="t" o:hr="t" fillcolor="#a0a0a0" stroked="f"/>
        </w:pict>
      </w:r>
    </w:p>
    <w:sectPr w:rsidR="00CC69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7194"/>
    <w:multiLevelType w:val="multilevel"/>
    <w:tmpl w:val="37702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93B"/>
    <w:rsid w:val="001054CA"/>
    <w:rsid w:val="00C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ha.org.a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eibm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astonboireau/?lipi=urn%3Ali%3Apage%3Ad_flagship3_pulse_read%3BoEFNIaCVTGuTdi%2FjyMgmOg%3D%3D" TargetMode="External"/><Relationship Id="rId11" Type="http://schemas.openxmlformats.org/officeDocument/2006/relationships/hyperlink" Target="https://www.adrha.org.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ib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uisetchenique/?lipi=urn%3Ali%3Apage%3Ad_flagship3_pulse_read%3BoEFNIaCVTGuTdi%2FjyMgmO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2025-06-18T19:44:00Z</dcterms:created>
  <dcterms:modified xsi:type="dcterms:W3CDTF">2025-06-18T19:44:00Z</dcterms:modified>
</cp:coreProperties>
</file>