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spacing w:after="160"/>
        <w:jc w:val="center"/>
      </w:pPr>
      <w:r>
        <w:rPr>
          <w:rFonts w:ascii="Aptos" w:hAnsi="Aptos"/>
          <w:b/>
          <w:color w:val="1F4E79"/>
          <w:sz w:val="24"/>
        </w:rPr>
        <w:t>GACETILLA DE PRENSA</w:t>
      </w:r>
    </w:p>
    <w:p>
      <w:pPr>
        <w:spacing w:after="200" w:line="240" w:lineRule="auto"/>
        <w:jc w:val="center"/>
        <w:pBdr>
          <w:bottom w:val="single" w:sz="12" w:space="6" w:color="5B9BD5"/>
        </w:pBdr>
      </w:pPr>
      <w:r>
        <w:rPr>
          <w:rFonts w:ascii="Aptos Display" w:hAnsi="Aptos Display"/>
          <w:b/>
          <w:color w:val="17365D"/>
          <w:sz w:val="50"/>
        </w:rPr>
        <w:t>Federico González presentó cuatro lecturas para pensar y construir la Argentina que viene</w:t>
      </w:r>
    </w:p>
    <w:p>
      <w:pPr>
        <w:spacing w:after="160" w:line="252" w:lineRule="auto"/>
        <w:jc w:val="center"/>
      </w:pPr>
      <w:r>
        <w:rPr>
          <w:rFonts w:ascii="Aptos" w:hAnsi="Aptos"/>
          <w:i/>
          <w:color w:val="555555"/>
          <w:sz w:val="26"/>
        </w:rPr>
        <w:t>Educación 5.0, independencia productiva, desarrollismo y autonomía: una agenda para convertir capacidades dispersas en poder nacional.</w:t>
      </w:r>
    </w:p>
    <w:p>
      <w:pPr>
        <w:spacing w:after="160"/>
        <w:jc w:val="right"/>
      </w:pPr>
      <w:r>
        <w:rPr>
          <w:rFonts w:ascii="Aptos" w:hAnsi="Aptos"/>
          <w:i/>
          <w:color w:val="666666"/>
          <w:sz w:val="21"/>
        </w:rPr>
        <w:t>Buenos Aires, 11 de julio de 2026</w:t>
      </w:r>
    </w:p>
    <w:p>
      <w:pPr>
        <w:spacing w:before="0" w:after="120" w:line="259" w:lineRule="auto"/>
      </w:pPr>
      <w:r>
        <w:rPr>
          <w:rFonts w:ascii="Aptos" w:hAnsi="Aptos"/>
          <w:b w:val="0"/>
          <w:i w:val="0"/>
          <w:sz w:val="22"/>
        </w:rPr>
        <w:t xml:space="preserve">Federico González, </w:t>
      </w:r>
      <w:r>
        <w:rPr>
          <w:rFonts w:ascii="Aptos" w:hAnsi="Aptos"/>
          <w:b/>
          <w:i w:val="0"/>
          <w:sz w:val="22"/>
        </w:rPr>
        <w:t>analista político, profesor universitario, fundador del Desarrollismo Inteligente del Siglo XXI y candidato a Presidente 2027</w:t>
      </w:r>
      <w:r>
        <w:rPr>
          <w:rFonts w:ascii="Aptos" w:hAnsi="Aptos"/>
          <w:b w:val="0"/>
          <w:i w:val="0"/>
          <w:sz w:val="22"/>
        </w:rPr>
        <w:t>, difundió cuatro nuevos artículos que recorren una misma pregunta: cómo dejar de administrar la decadencia y comenzar a organizar las capacidades educativas, productivas, científicas, tecnológicas y sociales de la Argentina.</w:t>
      </w:r>
    </w:p>
    <w:p>
      <w:pPr>
        <w:spacing w:before="0" w:after="160" w:line="259" w:lineRule="auto"/>
      </w:pPr>
      <w:r>
        <w:rPr>
          <w:rFonts w:ascii="Aptos" w:hAnsi="Aptos"/>
          <w:b/>
          <w:i w:val="0"/>
          <w:sz w:val="22"/>
        </w:rPr>
        <w:t xml:space="preserve">Las cuatro lecturas combinan ideas y propuestas concretas: </w:t>
      </w:r>
      <w:r>
        <w:rPr>
          <w:rFonts w:ascii="Aptos" w:hAnsi="Aptos"/>
          <w:b w:val="0"/>
          <w:i w:val="0"/>
          <w:sz w:val="22"/>
        </w:rPr>
        <w:t>una Revolución Educativa 5.0, una concepción productiva de la independencia, una arquitectura desarrollista sostenida por leyes y un Estado inteligente, y una reflexión sobre la diferencia entre una cuerda que impulsa y una cadena que atrapa.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DD7EE"/>
          <w:left w:val="single" w:sz="6" w:space="0" w:color="BDD7EE"/>
          <w:bottom w:val="single" w:sz="6" w:space="0" w:color="BDD7EE"/>
          <w:right w:val="single" w:sz="6" w:space="0" w:color="BDD7EE"/>
          <w:insideH w:val="single" w:sz="6" w:space="0" w:color="BDD7EE"/>
          <w:insideV w:val="single" w:sz="6" w:space="0" w:color="BDD7EE"/>
        </w:tblBorders>
      </w:tblPr>
      <w:tblGrid>
        <w:gridCol w:w="10080"/>
      </w:tblGrid>
      <w:tr>
        <w:tc>
          <w:tcPr>
            <w:tcW w:type="dxa" w:w="10368"/>
            <w:shd w:fill="EAF2F8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center"/>
            </w:pPr>
            <w:r>
              <w:rPr>
                <w:rFonts w:ascii="Aptos" w:hAnsi="Aptos"/>
                <w:i/>
                <w:color w:val="1F4E79"/>
                <w:sz w:val="26"/>
              </w:rPr>
              <w:t>“No son textos para administrar la decadencia: son ideas, proyectos y herramientas para comenzar a superarla.”</w:t>
            </w:r>
          </w:p>
        </w:tc>
      </w:tr>
    </w:tbl>
    <w:p>
      <w:pPr>
        <w:spacing w:before="200" w:after="120"/>
        <w:keepNext/>
      </w:pPr>
      <w:r>
        <w:rPr>
          <w:rFonts w:ascii="Aptos Display" w:hAnsi="Aptos Display"/>
          <w:b/>
          <w:color w:val="1F4E79"/>
          <w:sz w:val="36"/>
        </w:rPr>
        <w:t>Las cuatro lecturas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7" w:space="0" w:color="BDD7EE"/>
          <w:left w:val="single" w:sz="7" w:space="0" w:color="BDD7EE"/>
          <w:bottom w:val="single" w:sz="7" w:space="0" w:color="BDD7EE"/>
          <w:right w:val="single" w:sz="7" w:space="0" w:color="BDD7EE"/>
          <w:insideH w:val="single" w:sz="7" w:space="0" w:color="BDD7EE"/>
          <w:insideV w:val="single" w:sz="7" w:space="0" w:color="BDD7EE"/>
        </w:tblBorders>
      </w:tblPr>
      <w:tblGrid>
        <w:gridCol w:w="2520"/>
        <w:gridCol w:w="7560"/>
      </w:tblGrid>
      <w:tr>
        <w:trPr>
          <w:cantSplit/>
        </w:trPr>
        <w:tc>
          <w:tcPr>
            <w:tcW w:type="dxa" w:w="2520"/>
            <w:vAlign w:val="center"/>
            <w:shd w:fill="1F4E79"/>
            <w:tcMar>
              <w:top w:w="170" w:type="dxa"/>
              <w:start w:w="100" w:type="dxa"/>
              <w:bottom w:w="170" w:type="dxa"/>
              <w:end w:w="100" w:type="dxa"/>
            </w:tcMar>
          </w:tcPr>
          <w:p>
            <w:pPr>
              <w:spacing w:after="20"/>
              <w:jc w:val="center"/>
            </w:pPr>
            <w:r>
              <w:rPr>
                <w:rFonts w:ascii="Aptos Display" w:hAnsi="Aptos Display"/>
                <w:b/>
                <w:color w:val="FFFFFF"/>
                <w:sz w:val="62"/>
              </w:rPr>
              <w:t>1</w:t>
            </w:r>
          </w:p>
          <w:p>
            <w:pPr>
              <w:spacing w:before="0" w:after="0"/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EDUCACIÓN</w:t>
            </w:r>
          </w:p>
        </w:tc>
        <w:tc>
          <w:tcPr>
            <w:tcW w:type="dxa" w:w="7560"/>
            <w:vAlign w:val="center"/>
            <w:shd w:fill="FFFFFF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80"/>
              <w:keepNext/>
            </w:pPr>
            <w:r>
              <w:rPr>
                <w:rFonts w:ascii="Aptos Display" w:hAnsi="Aptos Display"/>
                <w:b/>
                <w:color w:val="1F4E79"/>
                <w:sz w:val="31"/>
              </w:rPr>
              <w:t>La Argentina que inventa</w:t>
            </w:r>
          </w:p>
          <w:p>
            <w:pPr>
              <w:spacing w:after="100" w:line="252" w:lineRule="auto"/>
            </w:pPr>
            <w:r>
              <w:rPr>
                <w:rFonts w:ascii="Aptos" w:hAnsi="Aptos"/>
                <w:sz w:val="21"/>
              </w:rPr>
              <w:t>Una propuesta de Revolución Educativa 5.0 para transformar las aulas en talleres de creación. Educación, inteligencia artificial, escuelas técnicas, patentes, emprendimientos y clusters productivos para que los jóvenes argentinos puedan inventar, producir y venderle inteligencia al mundo.</w:t>
            </w:r>
          </w:p>
          <w:p>
            <w:pPr>
              <w:spacing w:after="0"/>
            </w:pPr>
            <w:r>
              <w:rPr>
                <w:rFonts w:ascii="Aptos" w:hAnsi="Aptos"/>
                <w:b/>
                <w:sz w:val="20"/>
              </w:rPr>
              <w:t xml:space="preserve">Leer el artículo completo: </w:t>
            </w:r>
            <w:hyperlink r:id="rId17">
              <w:r>
                <w:rPr>
                  <w:color w:val="0563C1"/>
                  <w:u w:val="single"/>
                  <w:rFonts w:ascii="Aptos" w:hAnsi="Aptos"/>
                  <w:sz w:val="20"/>
                </w:rPr>
                <w:t>https://federico531.substack.com/p/la-argentina-que-inventa?r=6fil8</w:t>
              </w:r>
            </w:hyperlink>
          </w:p>
        </w:tc>
      </w:tr>
    </w:tbl>
    <w:p>
      <w:pPr>
        <w:spacing w:after="2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7" w:space="0" w:color="BDD7EE"/>
          <w:left w:val="single" w:sz="7" w:space="0" w:color="BDD7EE"/>
          <w:bottom w:val="single" w:sz="7" w:space="0" w:color="BDD7EE"/>
          <w:right w:val="single" w:sz="7" w:space="0" w:color="BDD7EE"/>
          <w:insideH w:val="single" w:sz="7" w:space="0" w:color="BDD7EE"/>
          <w:insideV w:val="single" w:sz="7" w:space="0" w:color="BDD7EE"/>
        </w:tblBorders>
      </w:tblPr>
      <w:tblGrid>
        <w:gridCol w:w="2520"/>
        <w:gridCol w:w="7560"/>
      </w:tblGrid>
      <w:tr>
        <w:trPr>
          <w:cantSplit/>
        </w:trPr>
        <w:tc>
          <w:tcPr>
            <w:tcW w:type="dxa" w:w="2520"/>
            <w:vAlign w:val="center"/>
            <w:shd w:fill="1F4E79"/>
            <w:tcMar>
              <w:top w:w="170" w:type="dxa"/>
              <w:start w:w="100" w:type="dxa"/>
              <w:bottom w:w="170" w:type="dxa"/>
              <w:end w:w="100" w:type="dxa"/>
            </w:tcMar>
          </w:tcPr>
          <w:p>
            <w:pPr>
              <w:spacing w:after="20"/>
              <w:jc w:val="center"/>
            </w:pPr>
            <w:r>
              <w:rPr>
                <w:rFonts w:ascii="Aptos Display" w:hAnsi="Aptos Display"/>
                <w:b/>
                <w:color w:val="FFFFFF"/>
                <w:sz w:val="62"/>
              </w:rPr>
              <w:t>2</w:t>
            </w:r>
          </w:p>
          <w:p>
            <w:pPr>
              <w:spacing w:before="0" w:after="0"/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SOBERANÍA</w:t>
            </w:r>
          </w:p>
        </w:tc>
        <w:tc>
          <w:tcPr>
            <w:tcW w:type="dxa" w:w="7560"/>
            <w:vAlign w:val="center"/>
            <w:shd w:fill="FFFFFF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80"/>
              <w:keepNext/>
            </w:pPr>
            <w:r>
              <w:rPr>
                <w:rFonts w:ascii="Aptos Display" w:hAnsi="Aptos Display"/>
                <w:b/>
                <w:color w:val="1F4E79"/>
                <w:sz w:val="31"/>
              </w:rPr>
              <w:t>La independencia no se declara: se produce</w:t>
            </w:r>
          </w:p>
          <w:p>
            <w:pPr>
              <w:spacing w:after="100" w:line="252" w:lineRule="auto"/>
            </w:pPr>
            <w:r>
              <w:rPr>
                <w:rFonts w:ascii="Aptos" w:hAnsi="Aptos"/>
                <w:sz w:val="21"/>
              </w:rPr>
              <w:t>El 9 de Julio no es solamente una fecha para recordar: es una pregunta sobre la Argentina que todavía debemos construir. Porque un país que no domina su energía, su tecnología, su conocimiento y sus capacidades productivas conserva sus símbolos, pero no controla plenamente su destino.</w:t>
            </w:r>
          </w:p>
          <w:p>
            <w:pPr>
              <w:spacing w:after="0"/>
            </w:pPr>
            <w:r>
              <w:rPr>
                <w:rFonts w:ascii="Aptos" w:hAnsi="Aptos"/>
                <w:b/>
                <w:sz w:val="20"/>
              </w:rPr>
              <w:t xml:space="preserve">Leer el artículo completo: </w:t>
            </w:r>
            <w:hyperlink r:id="rId18">
              <w:r>
                <w:rPr>
                  <w:color w:val="0563C1"/>
                  <w:u w:val="single"/>
                  <w:rFonts w:ascii="Aptos" w:hAnsi="Aptos"/>
                  <w:sz w:val="20"/>
                </w:rPr>
                <w:t>https://federico531.substack.com/p/la-independencia-no-se-declara-se?r=6fil8</w:t>
              </w:r>
            </w:hyperlink>
          </w:p>
        </w:tc>
      </w:tr>
    </w:tbl>
    <w:p>
      <w:pPr>
        <w:spacing w:after="2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7" w:space="0" w:color="BDD7EE"/>
          <w:left w:val="single" w:sz="7" w:space="0" w:color="BDD7EE"/>
          <w:bottom w:val="single" w:sz="7" w:space="0" w:color="BDD7EE"/>
          <w:right w:val="single" w:sz="7" w:space="0" w:color="BDD7EE"/>
          <w:insideH w:val="single" w:sz="7" w:space="0" w:color="BDD7EE"/>
          <w:insideV w:val="single" w:sz="7" w:space="0" w:color="BDD7EE"/>
        </w:tblBorders>
      </w:tblPr>
      <w:tblGrid>
        <w:gridCol w:w="2520"/>
        <w:gridCol w:w="7560"/>
      </w:tblGrid>
      <w:tr>
        <w:trPr>
          <w:cantSplit/>
        </w:trPr>
        <w:tc>
          <w:tcPr>
            <w:tcW w:type="dxa" w:w="2520"/>
            <w:vAlign w:val="center"/>
            <w:shd w:fill="1F4E79"/>
            <w:tcMar>
              <w:top w:w="170" w:type="dxa"/>
              <w:start w:w="100" w:type="dxa"/>
              <w:bottom w:w="170" w:type="dxa"/>
              <w:end w:w="100" w:type="dxa"/>
            </w:tcMar>
          </w:tcPr>
          <w:p>
            <w:pPr>
              <w:spacing w:after="20"/>
              <w:jc w:val="center"/>
            </w:pPr>
            <w:r>
              <w:rPr>
                <w:rFonts w:ascii="Aptos Display" w:hAnsi="Aptos Display"/>
                <w:b/>
                <w:color w:val="FFFFFF"/>
                <w:sz w:val="62"/>
              </w:rPr>
              <w:t>3</w:t>
            </w:r>
          </w:p>
          <w:p>
            <w:pPr>
              <w:spacing w:before="0" w:after="0"/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DESARROLLO</w:t>
            </w:r>
          </w:p>
        </w:tc>
        <w:tc>
          <w:tcPr>
            <w:tcW w:type="dxa" w:w="7560"/>
            <w:vAlign w:val="center"/>
            <w:shd w:fill="FFFFFF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80"/>
              <w:keepNext/>
            </w:pPr>
            <w:r>
              <w:rPr>
                <w:rFonts w:ascii="Aptos Display" w:hAnsi="Aptos Display"/>
                <w:b/>
                <w:color w:val="1F4E79"/>
                <w:sz w:val="31"/>
              </w:rPr>
              <w:t>Desarrollismo e independencia</w:t>
            </w:r>
          </w:p>
          <w:p>
            <w:pPr>
              <w:spacing w:after="100" w:line="252" w:lineRule="auto"/>
            </w:pPr>
            <w:r>
              <w:rPr>
                <w:rFonts w:ascii="Aptos" w:hAnsi="Aptos"/>
                <w:sz w:val="21"/>
              </w:rPr>
              <w:t>La independencia política fue el primer acto; el desarrollismo es la independencia puesta a trabajar. Una arquitectura nacional de capacidades productivas, científicas, tecnológicas, educativas y sociales, sostenida por leyes concretas y un Estado inteligente que articule sin asfixiar ni abandonar.</w:t>
            </w:r>
          </w:p>
          <w:p>
            <w:pPr>
              <w:spacing w:after="0"/>
            </w:pPr>
            <w:r>
              <w:rPr>
                <w:rFonts w:ascii="Aptos" w:hAnsi="Aptos"/>
                <w:b/>
                <w:sz w:val="20"/>
              </w:rPr>
              <w:t xml:space="preserve">Leer el artículo completo: </w:t>
            </w:r>
            <w:hyperlink r:id="rId19">
              <w:r>
                <w:rPr>
                  <w:color w:val="0563C1"/>
                  <w:u w:val="single"/>
                  <w:rFonts w:ascii="Aptos" w:hAnsi="Aptos"/>
                  <w:sz w:val="20"/>
                </w:rPr>
                <w:t>https://federico531.substack.com/p/desarrollismo-e-independencia?r=6fil8</w:t>
              </w:r>
            </w:hyperlink>
          </w:p>
        </w:tc>
      </w:tr>
    </w:tbl>
    <w:p>
      <w:pPr>
        <w:spacing w:after="2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7" w:space="0" w:color="BDD7EE"/>
          <w:left w:val="single" w:sz="7" w:space="0" w:color="BDD7EE"/>
          <w:bottom w:val="single" w:sz="7" w:space="0" w:color="BDD7EE"/>
          <w:right w:val="single" w:sz="7" w:space="0" w:color="BDD7EE"/>
          <w:insideH w:val="single" w:sz="7" w:space="0" w:color="BDD7EE"/>
          <w:insideV w:val="single" w:sz="7" w:space="0" w:color="BDD7EE"/>
        </w:tblBorders>
      </w:tblPr>
      <w:tblGrid>
        <w:gridCol w:w="2520"/>
        <w:gridCol w:w="7560"/>
      </w:tblGrid>
      <w:tr>
        <w:trPr>
          <w:cantSplit/>
        </w:trPr>
        <w:tc>
          <w:tcPr>
            <w:tcW w:type="dxa" w:w="2520"/>
            <w:vAlign w:val="center"/>
            <w:shd w:fill="1F4E79"/>
            <w:tcMar>
              <w:top w:w="170" w:type="dxa"/>
              <w:start w:w="100" w:type="dxa"/>
              <w:bottom w:w="170" w:type="dxa"/>
              <w:end w:w="100" w:type="dxa"/>
            </w:tcMar>
          </w:tcPr>
          <w:p>
            <w:pPr>
              <w:spacing w:after="20"/>
              <w:jc w:val="center"/>
            </w:pPr>
            <w:r>
              <w:rPr>
                <w:rFonts w:ascii="Aptos Display" w:hAnsi="Aptos Display"/>
                <w:b/>
                <w:color w:val="FFFFFF"/>
                <w:sz w:val="62"/>
              </w:rPr>
              <w:t>4</w:t>
            </w:r>
          </w:p>
          <w:p>
            <w:pPr>
              <w:spacing w:before="0" w:after="0"/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AUTONOMÍA</w:t>
            </w:r>
          </w:p>
        </w:tc>
        <w:tc>
          <w:tcPr>
            <w:tcW w:type="dxa" w:w="7560"/>
            <w:vAlign w:val="center"/>
            <w:shd w:fill="FFFFFF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80"/>
              <w:keepNext/>
            </w:pPr>
            <w:r>
              <w:rPr>
                <w:rFonts w:ascii="Aptos Display" w:hAnsi="Aptos Display"/>
                <w:b/>
                <w:color w:val="1F4E79"/>
                <w:sz w:val="31"/>
              </w:rPr>
              <w:t>La cuerda no puede ser cadena</w:t>
            </w:r>
          </w:p>
          <w:p>
            <w:pPr>
              <w:spacing w:after="100" w:line="252" w:lineRule="auto"/>
            </w:pPr>
            <w:r>
              <w:rPr>
                <w:rFonts w:ascii="Aptos" w:hAnsi="Aptos"/>
                <w:sz w:val="21"/>
              </w:rPr>
              <w:t>Una reflexión sobre el vínculo entre el Estado y la sociedad. La cuerda debe impulsar, sostener y ampliar capacidades; cuando inmoviliza, tutela o atrapa, se convierte en cadena. El desafío es pasar de la dependencia administrada a la autonomía construida mediante educación, trabajo y producción.</w:t>
            </w:r>
          </w:p>
          <w:p>
            <w:pPr>
              <w:spacing w:after="0"/>
            </w:pPr>
            <w:r>
              <w:rPr>
                <w:rFonts w:ascii="Aptos" w:hAnsi="Aptos"/>
                <w:b/>
                <w:sz w:val="20"/>
              </w:rPr>
              <w:t xml:space="preserve">Leer el artículo completo: </w:t>
            </w:r>
            <w:hyperlink r:id="rId20">
              <w:r>
                <w:rPr>
                  <w:color w:val="0563C1"/>
                  <w:u w:val="single"/>
                  <w:rFonts w:ascii="Aptos" w:hAnsi="Aptos"/>
                  <w:sz w:val="20"/>
                </w:rPr>
                <w:t>https://federico531.substack.com/p/la-cuerda-no-puede-ser-cadena?r=6fil8</w:t>
              </w:r>
            </w:hyperlink>
          </w:p>
        </w:tc>
      </w:tr>
    </w:tbl>
    <w:p>
      <w:pPr>
        <w:spacing w:after="20" w:before="0"/>
      </w:pPr>
    </w:p>
    <w:p>
      <w:pPr>
        <w:spacing w:before="160" w:after="80"/>
        <w:keepNext/>
      </w:pPr>
      <w:r>
        <w:rPr>
          <w:rFonts w:ascii="Aptos Display" w:hAnsi="Aptos Display"/>
          <w:b/>
          <w:color w:val="1F4E79"/>
          <w:sz w:val="36"/>
        </w:rPr>
        <w:t>Eje común</w:t>
      </w:r>
    </w:p>
    <w:p>
      <w:pPr>
        <w:spacing w:before="0" w:after="120" w:line="259" w:lineRule="auto"/>
      </w:pPr>
      <w:r>
        <w:rPr>
          <w:rFonts w:ascii="Aptos" w:hAnsi="Aptos"/>
          <w:b/>
          <w:i w:val="0"/>
          <w:sz w:val="22"/>
        </w:rPr>
        <w:t xml:space="preserve">Los cuatro artículos dibujan un mismo itinerario: </w:t>
      </w:r>
      <w:r>
        <w:rPr>
          <w:rFonts w:ascii="Aptos" w:hAnsi="Aptos"/>
          <w:b w:val="0"/>
          <w:i w:val="0"/>
          <w:sz w:val="22"/>
        </w:rPr>
        <w:t>educar para crear, producir para ser independientes, articular capacidades para desarrollarnos y construir autonomía en lugar de dependencia. González sostiene que la Argentina necesita un Estado inteligente: austero donde debe, fuerte donde importa, transparente siempre y orientado a transferir capacidades a los ciudadanos.</w:t>
      </w:r>
    </w:p>
    <w:p>
      <w:pPr>
        <w:spacing w:before="80" w:after="0"/>
      </w:pPr>
      <w:r>
        <w:rPr>
          <w:rFonts w:ascii="Aptos" w:hAnsi="Aptos"/>
          <w:b/>
          <w:sz w:val="22"/>
        </w:rPr>
        <w:t xml:space="preserve">Contacto / prensa: </w:t>
      </w:r>
      <w:r>
        <w:rPr>
          <w:rFonts w:ascii="Aptos" w:hAnsi="Aptos"/>
          <w:sz w:val="22"/>
        </w:rPr>
        <w:t>Federico González y Asociados – 11-6631-3421</w:t>
      </w:r>
    </w:p>
    <w:sectPr w:rsidR="00406FDD" w:rsidRPr="00A5760C" w:rsidSect="00034616">
      <w:footerReference w:type="default" r:id="rId14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D906E" w14:textId="77777777" w:rsidR="00060057" w:rsidRDefault="0006005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50A05E5" w14:textId="77777777" w:rsidR="00060057" w:rsidRDefault="0006005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93656" w14:textId="77777777" w:rsidR="00406FDD" w:rsidRPr="00A5760C" w:rsidRDefault="00D661D8">
    <w:pPr>
      <w:pStyle w:val="Piedepgina"/>
      <w:jc w:val="center"/>
      <w:rPr>
        <w:rFonts w:hint="eastAsia"/>
        <w:lang w:val="es-419"/>
      </w:rPr>
    </w:pPr>
    <w:r>
      <w:rPr>
        <w:rFonts w:ascii="Aptos" w:hAnsi="Aptos"/>
        <w:color w:val="777777"/>
        <w:sz w:val="18"/>
      </w:rPr>
      <w:t>Federico González — Desarrollismo Inteligente del Siglo XXI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D700BD" w14:textId="77777777" w:rsidR="00060057" w:rsidRDefault="0006005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A46D7C0" w14:textId="77777777" w:rsidR="00060057" w:rsidRDefault="0006005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057"/>
    <w:rsid w:val="0006063C"/>
    <w:rsid w:val="0015074B"/>
    <w:rsid w:val="001D5E32"/>
    <w:rsid w:val="0029639D"/>
    <w:rsid w:val="00326F90"/>
    <w:rsid w:val="00406FDD"/>
    <w:rsid w:val="0094582E"/>
    <w:rsid w:val="00A5760C"/>
    <w:rsid w:val="00AA1D8D"/>
    <w:rsid w:val="00B47730"/>
    <w:rsid w:val="00C43CE9"/>
    <w:rsid w:val="00CB0664"/>
    <w:rsid w:val="00CC169D"/>
    <w:rsid w:val="00D661D8"/>
    <w:rsid w:val="00F0342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5056548"/>
  <w14:defaultImageDpi w14:val="330"/>
  <w15:docId w15:val="{3DA4931B-B438-44F8-9129-47F463F9E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Aptos" w:hAnsi="Aptos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4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7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8gehdl.short.gy/fld1o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8gehdl.short.gy/nyHrQ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8gehdl.short.gy/ZMel2i" TargetMode="External"/><Relationship Id="rId14" Type="http://schemas.openxmlformats.org/officeDocument/2006/relationships/footer" Target="footer1.xml"/><Relationship Id="rId17" Type="http://schemas.openxmlformats.org/officeDocument/2006/relationships/hyperlink" Target="https://federico531.substack.com/p/la-argentina-que-inventa?r=6fil8" TargetMode="External"/><Relationship Id="rId18" Type="http://schemas.openxmlformats.org/officeDocument/2006/relationships/hyperlink" Target="https://federico531.substack.com/p/la-independencia-no-se-declara-se?r=6fil8" TargetMode="External"/><Relationship Id="rId19" Type="http://schemas.openxmlformats.org/officeDocument/2006/relationships/hyperlink" Target="https://federico531.substack.com/p/desarrollismo-e-independencia?r=6fil8" TargetMode="External"/><Relationship Id="rId20" Type="http://schemas.openxmlformats.org/officeDocument/2006/relationships/hyperlink" Target="https://federico531.substack.com/p/la-cuerda-no-puede-ser-cadena?r=6fil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C8BEDB-2F0B-47CB-A9C8-EEA2925F8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2767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Federico</cp:lastModifiedBy>
  <cp:revision>2</cp:revision>
  <dcterms:created xsi:type="dcterms:W3CDTF">2026-07-11T02:53:00Z</dcterms:created>
  <dcterms:modified xsi:type="dcterms:W3CDTF">2026-07-11T02:53:00Z</dcterms:modified>
  <cp:category/>
</cp:coreProperties>
</file>