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8C049E9" w:rsidR="00024DC4" w:rsidRDefault="00E13714" w:rsidP="00E13714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sz w:val="21"/>
          <w:szCs w:val="21"/>
          <w:highlight w:val="white"/>
        </w:rPr>
        <w:br/>
      </w:r>
      <w:r>
        <w:rPr>
          <w:rFonts w:ascii="Roboto" w:eastAsia="Roboto" w:hAnsi="Roboto" w:cs="Roboto"/>
          <w:b/>
          <w:sz w:val="21"/>
          <w:szCs w:val="21"/>
          <w:highlight w:val="white"/>
        </w:rPr>
        <w:t>GASTÓN BOIREAU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(Especialista en Diversidad e Inclusión),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LUIS ETCHENIQUE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(Consultor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Senior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en Diversidad e Inclusión).</w:t>
      </w:r>
    </w:p>
    <w:p w14:paraId="00000002" w14:textId="77777777" w:rsidR="00024DC4" w:rsidRDefault="00024DC4" w:rsidP="00E13714">
      <w:pPr>
        <w:rPr>
          <w:rFonts w:ascii="Roboto" w:eastAsia="Roboto" w:hAnsi="Roboto" w:cs="Roboto"/>
          <w:sz w:val="21"/>
          <w:szCs w:val="21"/>
          <w:highlight w:val="white"/>
        </w:rPr>
      </w:pPr>
    </w:p>
    <w:p w14:paraId="00000003" w14:textId="77777777" w:rsidR="00024DC4" w:rsidRDefault="00E13714" w:rsidP="00E13714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3D85C6"/>
          <w:sz w:val="21"/>
          <w:szCs w:val="21"/>
          <w:highlight w:val="white"/>
        </w:rPr>
        <w:t>Referencia</w:t>
      </w:r>
      <w:r>
        <w:rPr>
          <w:rFonts w:ascii="Roboto" w:eastAsia="Roboto" w:hAnsi="Roboto" w:cs="Roboto"/>
          <w:sz w:val="21"/>
          <w:szCs w:val="21"/>
          <w:highlight w:val="white"/>
        </w:rPr>
        <w:t>:</w:t>
      </w:r>
      <w:r>
        <w:rPr>
          <w:rFonts w:ascii="Roboto" w:eastAsia="Roboto" w:hAnsi="Roboto" w:cs="Roboto"/>
          <w:sz w:val="21"/>
          <w:szCs w:val="21"/>
          <w:highlight w:val="white"/>
        </w:rPr>
        <w:br/>
        <w:t>LUIS ETCHENIQUE</w:t>
      </w:r>
      <w:r>
        <w:rPr>
          <w:rFonts w:ascii="Roboto" w:eastAsia="Roboto" w:hAnsi="Roboto" w:cs="Roboto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Partner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DEIBme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, Consultor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Senior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en Diversidad e Inclusión</w:t>
      </w:r>
      <w:r>
        <w:rPr>
          <w:rFonts w:ascii="Roboto" w:eastAsia="Roboto" w:hAnsi="Roboto" w:cs="Roboto"/>
          <w:sz w:val="21"/>
          <w:szCs w:val="21"/>
          <w:highlight w:val="white"/>
        </w:rPr>
        <w:br/>
        <w:t xml:space="preserve">Correo electrónico: </w:t>
      </w:r>
      <w:hyperlink r:id="rId5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equipo@deibme.com</w:t>
        </w:r>
      </w:hyperlink>
    </w:p>
    <w:p w14:paraId="00000004" w14:textId="77777777" w:rsidR="00024DC4" w:rsidRPr="00E13714" w:rsidRDefault="00E13714" w:rsidP="00E13714">
      <w:pPr>
        <w:rPr>
          <w:rFonts w:ascii="Roboto" w:eastAsia="Roboto" w:hAnsi="Roboto" w:cs="Roboto"/>
          <w:sz w:val="21"/>
          <w:szCs w:val="21"/>
          <w:highlight w:val="yellow"/>
        </w:rPr>
      </w:pPr>
      <w:r w:rsidRPr="00E13714">
        <w:rPr>
          <w:rFonts w:ascii="Roboto" w:eastAsia="Roboto" w:hAnsi="Roboto" w:cs="Roboto"/>
          <w:sz w:val="21"/>
          <w:szCs w:val="21"/>
          <w:highlight w:val="yellow"/>
        </w:rPr>
        <w:t>Teléfono: 114538 5548</w:t>
      </w:r>
    </w:p>
    <w:p w14:paraId="00000005" w14:textId="77777777" w:rsidR="00024DC4" w:rsidRDefault="00E13714" w:rsidP="00E13714">
      <w:pPr>
        <w:spacing w:before="240" w:after="240"/>
        <w:rPr>
          <w:sz w:val="20"/>
          <w:szCs w:val="20"/>
        </w:rPr>
      </w:pPr>
      <w:bookmarkStart w:id="0" w:name="_GoBack"/>
      <w:bookmarkEnd w:id="0"/>
      <w:r>
        <w:rPr>
          <w:b/>
          <w:sz w:val="34"/>
          <w:szCs w:val="34"/>
        </w:rPr>
        <w:t>¿Qué queda cuando se guarda la bandera del mes del orgullo? Claves para sostener la inclusión LGBTIQ+</w:t>
      </w:r>
    </w:p>
    <w:p w14:paraId="00000006" w14:textId="77777777" w:rsidR="00024DC4" w:rsidRDefault="00E13714" w:rsidP="00E1371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Cada junio, muchas organizaciones suman banderas, </w:t>
      </w:r>
      <w:proofErr w:type="spellStart"/>
      <w:r>
        <w:rPr>
          <w:sz w:val="20"/>
          <w:szCs w:val="20"/>
        </w:rPr>
        <w:t>posteos</w:t>
      </w:r>
      <w:proofErr w:type="spellEnd"/>
      <w:r>
        <w:rPr>
          <w:sz w:val="20"/>
          <w:szCs w:val="20"/>
        </w:rPr>
        <w:t xml:space="preserve"> y mensajes de </w:t>
      </w:r>
      <w:r>
        <w:rPr>
          <w:sz w:val="20"/>
          <w:szCs w:val="20"/>
        </w:rPr>
        <w:t>apoyo a la diversidad LGBTIQ+. Pero, ¿cómo asegurar que esos gestos no queden solo en la foto? En esta nota buscamos repasar algunos avances recientes, brechas en normativas y una primera práctica concreta que funciona para empezar a sostener el compromiso</w:t>
      </w:r>
      <w:r>
        <w:rPr>
          <w:sz w:val="20"/>
          <w:szCs w:val="20"/>
        </w:rPr>
        <w:t xml:space="preserve"> con la inclusión durante todo el año.</w:t>
      </w:r>
    </w:p>
    <w:p w14:paraId="00000007" w14:textId="77777777" w:rsidR="00024DC4" w:rsidRDefault="00E13714" w:rsidP="00E1371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Aunque cada junio abundan los gestos de apoyo a la diversidad LGBTIQ+, muchas organizaciones siguen enfrentando el reto de sostener en el tiempo lo que comienza con una bandera o una publicación en redes para apoyar a</w:t>
      </w:r>
      <w:r>
        <w:rPr>
          <w:sz w:val="20"/>
          <w:szCs w:val="20"/>
        </w:rPr>
        <w:t xml:space="preserve"> la comunidad, y está perfecto. De hecho, algunas empresas ya han consolidado prácticas inclusivas, mientras otras apenas comienzan a revisar sus políticas internas de reclutamiento más inclusivo, lo que también es aplaudible en un contexto donde el entusi</w:t>
      </w:r>
      <w:r>
        <w:rPr>
          <w:sz w:val="20"/>
          <w:szCs w:val="20"/>
        </w:rPr>
        <w:t>asmo inicial muchas veces choca con la falta de respaldo, presupuestario o simplemente no saber por dónde empezar.</w:t>
      </w:r>
    </w:p>
    <w:p w14:paraId="00000008" w14:textId="77777777" w:rsidR="00024DC4" w:rsidRDefault="00E13714" w:rsidP="00E1371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Desde participar de las marchas en carrozas llenas de banderas con el logo de la empresa, hasta publicar un post en una red social son puntos</w:t>
      </w:r>
      <w:r>
        <w:rPr>
          <w:sz w:val="20"/>
          <w:szCs w:val="20"/>
        </w:rPr>
        <w:t xml:space="preserve"> de partida de apoyo y respeto a la diversidad, pero el verdadero desafío consiste en convertir la inclusión en parte de la cultura interna, de las decisiones sobre talento, de los procesos y de las formas cotidianas de acompañar a cada persona. Veamos qué</w:t>
      </w:r>
      <w:r>
        <w:rPr>
          <w:sz w:val="20"/>
          <w:szCs w:val="20"/>
        </w:rPr>
        <w:t xml:space="preserve"> ya se </w:t>
      </w:r>
      <w:proofErr w:type="gramStart"/>
      <w:r>
        <w:rPr>
          <w:sz w:val="20"/>
          <w:szCs w:val="20"/>
        </w:rPr>
        <w:t>está</w:t>
      </w:r>
      <w:proofErr w:type="gramEnd"/>
      <w:r>
        <w:rPr>
          <w:sz w:val="20"/>
          <w:szCs w:val="20"/>
        </w:rPr>
        <w:t xml:space="preserve"> implementando para dar el paso un poco más allá y fomentar el respeto a nuestro equipo.</w:t>
      </w:r>
    </w:p>
    <w:p w14:paraId="00000009" w14:textId="77777777" w:rsidR="00024DC4" w:rsidRDefault="00E13714" w:rsidP="00E13714">
      <w:pPr>
        <w:pStyle w:val="Ttulo2"/>
        <w:keepNext w:val="0"/>
        <w:keepLines w:val="0"/>
        <w:spacing w:after="80"/>
        <w:rPr>
          <w:b/>
          <w:sz w:val="28"/>
          <w:szCs w:val="28"/>
        </w:rPr>
      </w:pPr>
      <w:bookmarkStart w:id="1" w:name="_8zuse5vtety" w:colFirst="0" w:colLast="0"/>
      <w:bookmarkEnd w:id="1"/>
      <w:r>
        <w:rPr>
          <w:b/>
          <w:sz w:val="28"/>
          <w:szCs w:val="28"/>
        </w:rPr>
        <w:t>Cuando las leyes acompañan y sostienen la inclusión.</w:t>
      </w:r>
    </w:p>
    <w:p w14:paraId="0000000A" w14:textId="77777777" w:rsidR="00024DC4" w:rsidRDefault="00E13714" w:rsidP="00E1371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Iniciamos este repaso por Europa porque es una de las regiones donde en los últimos años se han desarro</w:t>
      </w:r>
      <w:r>
        <w:rPr>
          <w:sz w:val="20"/>
          <w:szCs w:val="20"/>
        </w:rPr>
        <w:t>llado normativas claras y aplicadas que permiten observar cómo la inclusión LGBTIQ+ puede ser sostenida desde lo institucional. España, por ejemplo, avanzó en octubre de 2024 con el Real Decreto 1026/2024, que exige a empresas con más de 50 personas trabaj</w:t>
      </w:r>
      <w:r>
        <w:rPr>
          <w:sz w:val="20"/>
          <w:szCs w:val="20"/>
        </w:rPr>
        <w:t>adoras implementar formación específica con enfoque LGBTIQ+, indicadores de seguimiento y planes de igualdad con enfoque en orientación e identidad. La norma también contempla protocolos frente al acoso y la figura de referentes internos.</w:t>
      </w:r>
    </w:p>
    <w:p w14:paraId="0000000B" w14:textId="77777777" w:rsidR="00024DC4" w:rsidRDefault="00E13714" w:rsidP="00E1371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En abril de 2025,</w:t>
      </w:r>
      <w:r>
        <w:rPr>
          <w:sz w:val="20"/>
          <w:szCs w:val="20"/>
        </w:rPr>
        <w:t xml:space="preserve"> el 74% de las grandes empresas ya había completado la primera fase de formación, frente al 23% del año previo y esto refleja cómo un marco claro acelera la transformación organizacional hacia lugares de trabajo más respetuosos y visibles para todas las id</w:t>
      </w:r>
      <w:r>
        <w:rPr>
          <w:sz w:val="20"/>
          <w:szCs w:val="20"/>
        </w:rPr>
        <w:t>entidades.</w:t>
      </w:r>
    </w:p>
    <w:p w14:paraId="0000000C" w14:textId="77777777" w:rsidR="00024DC4" w:rsidRDefault="00E13714" w:rsidP="00E1371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 contraste, en América Latina aún no se cuenta con normativas de este tipo o no se fiscalizan adecuadamente; en Argentina se han registrado retrocesos en las políticas públicas y privadas, con desfinanciamiento y eliminación de políticas DEI, </w:t>
      </w:r>
      <w:r>
        <w:rPr>
          <w:sz w:val="20"/>
          <w:szCs w:val="20"/>
        </w:rPr>
        <w:t>así como de estructuras orientadas a la diversidad, lo que ha debilitado el acompañamiento a organizaciones. En México, Chile y Colombia, la inclusión LGBTIQ+ avanza principalmente por impulso del sector privado. En 2025, Equidad MX distinguió a 260 empres</w:t>
      </w:r>
      <w:r>
        <w:rPr>
          <w:sz w:val="20"/>
          <w:szCs w:val="20"/>
        </w:rPr>
        <w:t>as con puntaje perfecto, un 3% más que el año anterior.</w:t>
      </w:r>
    </w:p>
    <w:p w14:paraId="0000000D" w14:textId="77777777" w:rsidR="00024DC4" w:rsidRDefault="00E13714" w:rsidP="00E13714">
      <w:pPr>
        <w:pStyle w:val="Ttulo2"/>
        <w:keepNext w:val="0"/>
        <w:keepLines w:val="0"/>
        <w:spacing w:before="0" w:after="0"/>
        <w:rPr>
          <w:b/>
          <w:sz w:val="28"/>
          <w:szCs w:val="28"/>
        </w:rPr>
      </w:pPr>
      <w:bookmarkStart w:id="2" w:name="_h5oes8mll3lo" w:colFirst="0" w:colLast="0"/>
      <w:bookmarkEnd w:id="2"/>
      <w:r>
        <w:rPr>
          <w:b/>
          <w:sz w:val="28"/>
          <w:szCs w:val="28"/>
        </w:rPr>
        <w:t>Liderar con coherencia y construir pertenencia.</w:t>
      </w:r>
    </w:p>
    <w:p w14:paraId="0000000E" w14:textId="77777777" w:rsidR="00024DC4" w:rsidRDefault="00E13714" w:rsidP="00E13714">
      <w:pPr>
        <w:rPr>
          <w:sz w:val="20"/>
          <w:szCs w:val="20"/>
        </w:rPr>
      </w:pPr>
      <w:r>
        <w:rPr>
          <w:sz w:val="20"/>
          <w:szCs w:val="20"/>
        </w:rPr>
        <w:t>Comenzamos por acá porque muchas veces se espera que el cambio llegue desde fuera, cuando en realidad son las formas de liderar las que determinan si la</w:t>
      </w:r>
      <w:r>
        <w:rPr>
          <w:sz w:val="20"/>
          <w:szCs w:val="20"/>
        </w:rPr>
        <w:t xml:space="preserve"> inclusión será sostenida o quedará en el intento. Una ley, una política, un comunicado o un proceso pierden sentido y potencia si quienes tienen responsabilidad de gestión no actúan con respeto, coherencia y convicción frente a las personas o bien en el e</w:t>
      </w:r>
      <w:r>
        <w:rPr>
          <w:sz w:val="20"/>
          <w:szCs w:val="20"/>
        </w:rPr>
        <w:t xml:space="preserve">jercicio cotidiano de sus decisiones. Liderar con perspectiva </w:t>
      </w:r>
      <w:proofErr w:type="spellStart"/>
      <w:r>
        <w:rPr>
          <w:sz w:val="20"/>
          <w:szCs w:val="20"/>
        </w:rPr>
        <w:t>interseccional</w:t>
      </w:r>
      <w:proofErr w:type="spellEnd"/>
      <w:r>
        <w:rPr>
          <w:sz w:val="20"/>
          <w:szCs w:val="20"/>
        </w:rPr>
        <w:t xml:space="preserve"> implica reconocer las múltiples dimensiones que atraviesan cada experiencia, comprender cómo se entrecruzan factores como género, orientación sexual, etnia, edad, discapacidad o s</w:t>
      </w:r>
      <w:r>
        <w:rPr>
          <w:sz w:val="20"/>
          <w:szCs w:val="20"/>
        </w:rPr>
        <w:t>ituación socioeconómica, y asumir un compromiso ético con la equidad como principio rector de toda acción de gestión.</w:t>
      </w:r>
    </w:p>
    <w:p w14:paraId="0000000F" w14:textId="77777777" w:rsidR="00024DC4" w:rsidRDefault="00024DC4" w:rsidP="00E13714">
      <w:pPr>
        <w:rPr>
          <w:sz w:val="20"/>
          <w:szCs w:val="20"/>
        </w:rPr>
      </w:pPr>
    </w:p>
    <w:p w14:paraId="00000010" w14:textId="77777777" w:rsidR="00024DC4" w:rsidRDefault="00E13714" w:rsidP="00E13714">
      <w:pPr>
        <w:rPr>
          <w:sz w:val="20"/>
          <w:szCs w:val="20"/>
        </w:rPr>
      </w:pPr>
      <w:r>
        <w:rPr>
          <w:sz w:val="20"/>
          <w:szCs w:val="20"/>
        </w:rPr>
        <w:t>Esto se traduce en incorporar la mirada LGBTIQ+ en los procesos de búsqueda y selección, revisar convenios colectivos para garantizar der</w:t>
      </w:r>
      <w:r>
        <w:rPr>
          <w:sz w:val="20"/>
          <w:szCs w:val="20"/>
        </w:rPr>
        <w:t xml:space="preserve">echos específicos vinculados a género y diversidad, adoptar un enfoque de comunicación inclusiva, promover la formación continua de quienes tienen a su cargo equipos y asegurar canales de denuncia accesibles, confiables y culturalmente sensibles. Así, las </w:t>
      </w:r>
      <w:r>
        <w:rPr>
          <w:sz w:val="20"/>
          <w:szCs w:val="20"/>
        </w:rPr>
        <w:t>políticas dejan de ser documentos de intención para convertirse en prácticas consistentes que modelan culturas organizacionales más justas y habitables.</w:t>
      </w:r>
    </w:p>
    <w:p w14:paraId="00000011" w14:textId="77777777" w:rsidR="00024DC4" w:rsidRDefault="00024DC4" w:rsidP="00E13714">
      <w:pPr>
        <w:rPr>
          <w:sz w:val="20"/>
          <w:szCs w:val="20"/>
        </w:rPr>
      </w:pPr>
    </w:p>
    <w:p w14:paraId="00000012" w14:textId="77777777" w:rsidR="00024DC4" w:rsidRDefault="00E13714" w:rsidP="00E13714">
      <w:pPr>
        <w:pStyle w:val="Ttulo2"/>
        <w:keepNext w:val="0"/>
        <w:keepLines w:val="0"/>
        <w:spacing w:before="0" w:after="0"/>
        <w:rPr>
          <w:b/>
          <w:sz w:val="28"/>
          <w:szCs w:val="28"/>
        </w:rPr>
      </w:pPr>
      <w:bookmarkStart w:id="3" w:name="_cpcu0eq8fvdq" w:colFirst="0" w:colLast="0"/>
      <w:bookmarkEnd w:id="3"/>
      <w:r>
        <w:rPr>
          <w:b/>
          <w:sz w:val="28"/>
          <w:szCs w:val="28"/>
        </w:rPr>
        <w:t>Buenas prácticas para sostener el compromiso</w:t>
      </w:r>
    </w:p>
    <w:p w14:paraId="00000013" w14:textId="77777777" w:rsidR="00024DC4" w:rsidRDefault="00E13714" w:rsidP="00E13714">
      <w:pPr>
        <w:rPr>
          <w:sz w:val="20"/>
          <w:szCs w:val="20"/>
        </w:rPr>
      </w:pPr>
      <w:r>
        <w:rPr>
          <w:sz w:val="20"/>
          <w:szCs w:val="20"/>
        </w:rPr>
        <w:t>Durante este mes iremos presentando distintas acciones qu</w:t>
      </w:r>
      <w:r>
        <w:rPr>
          <w:sz w:val="20"/>
          <w:szCs w:val="20"/>
        </w:rPr>
        <w:t>e pueden ser adoptadas por organizaciones de diversos tamaños y sectores. Iniciamos con una estrategia ampliamente utilizada por su impacto positivo como lo es la creación de un Grupo de Afinidad LGBTIQ+ (</w:t>
      </w:r>
      <w:proofErr w:type="spellStart"/>
      <w:r>
        <w:rPr>
          <w:sz w:val="20"/>
          <w:szCs w:val="20"/>
        </w:rPr>
        <w:t>Employee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Resource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, o ERG), y se trata de una </w:t>
      </w:r>
      <w:r>
        <w:rPr>
          <w:sz w:val="20"/>
          <w:szCs w:val="20"/>
        </w:rPr>
        <w:t>herramienta de gestión que permite mostrar el compromiso con la diversidad, articular iniciativas desde dentro y generar mecanismos de participación que refuercen la cultura inclusiva.</w:t>
      </w:r>
    </w:p>
    <w:p w14:paraId="00000014" w14:textId="77777777" w:rsidR="00024DC4" w:rsidRDefault="00024DC4" w:rsidP="00E13714">
      <w:pPr>
        <w:rPr>
          <w:sz w:val="20"/>
          <w:szCs w:val="20"/>
        </w:rPr>
      </w:pPr>
    </w:p>
    <w:p w14:paraId="00000015" w14:textId="77777777" w:rsidR="00024DC4" w:rsidRDefault="00E13714" w:rsidP="00E13714">
      <w:pPr>
        <w:rPr>
          <w:sz w:val="20"/>
          <w:szCs w:val="20"/>
        </w:rPr>
      </w:pPr>
      <w:r>
        <w:rPr>
          <w:sz w:val="20"/>
          <w:szCs w:val="20"/>
        </w:rPr>
        <w:t>Estos grupos comparten identidades o experiencias vinculadas a la comu</w:t>
      </w:r>
      <w:r>
        <w:rPr>
          <w:sz w:val="20"/>
          <w:szCs w:val="20"/>
        </w:rPr>
        <w:t>nidad LGBTIQ+, actúan como redes internas que promueven diálogo, formación, acompañamiento y propuestas de mejora en políticas y procesos. Cuando cuentan con recursos y respaldo pueden asesorar en revisiones de lenguaje inclusivo, ofrecer apoyo en situacio</w:t>
      </w:r>
      <w:r>
        <w:rPr>
          <w:sz w:val="20"/>
          <w:szCs w:val="20"/>
        </w:rPr>
        <w:t xml:space="preserve">nes de discriminación, o participar en mesas de decisión que afectan directamente a la inclusión. </w:t>
      </w:r>
    </w:p>
    <w:p w14:paraId="00000016" w14:textId="77777777" w:rsidR="00024DC4" w:rsidRDefault="00024DC4" w:rsidP="00E13714">
      <w:pPr>
        <w:rPr>
          <w:sz w:val="20"/>
          <w:szCs w:val="20"/>
        </w:rPr>
      </w:pPr>
    </w:p>
    <w:p w14:paraId="00000017" w14:textId="77777777" w:rsidR="00024DC4" w:rsidRDefault="00E13714" w:rsidP="00E13714">
      <w:pPr>
        <w:rPr>
          <w:sz w:val="20"/>
          <w:szCs w:val="20"/>
        </w:rPr>
      </w:pPr>
      <w:r>
        <w:rPr>
          <w:sz w:val="20"/>
          <w:szCs w:val="20"/>
        </w:rPr>
        <w:t>Implementar un ERG no reemplaza otras medidas, pero constituye una señal clara de que la inclusión es parte del modo en que se toma cada decisión. Como toda</w:t>
      </w:r>
      <w:r>
        <w:rPr>
          <w:sz w:val="20"/>
          <w:szCs w:val="20"/>
        </w:rPr>
        <w:t xml:space="preserve"> estrategia, requiere planificación, escucha y un equipo diverso y dispuesto a dejarse transformar por las voces que históricamente quedaron fuera. Son las personas aliadas, los equipos y los espacios seguros los que permiten que las iniciativas se sosteng</w:t>
      </w:r>
      <w:r>
        <w:rPr>
          <w:sz w:val="20"/>
          <w:szCs w:val="20"/>
        </w:rPr>
        <w:t>an.</w:t>
      </w:r>
    </w:p>
    <w:p w14:paraId="00000018" w14:textId="77777777" w:rsidR="00024DC4" w:rsidRDefault="00024DC4" w:rsidP="00E13714">
      <w:pPr>
        <w:rPr>
          <w:sz w:val="20"/>
          <w:szCs w:val="20"/>
        </w:rPr>
      </w:pPr>
    </w:p>
    <w:p w14:paraId="00000019" w14:textId="77777777" w:rsidR="00024DC4" w:rsidRDefault="00E13714" w:rsidP="00E13714">
      <w:pPr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sz w:val="20"/>
          <w:szCs w:val="20"/>
        </w:rPr>
        <w:t xml:space="preserve">Harvey </w:t>
      </w:r>
      <w:proofErr w:type="spellStart"/>
      <w:r>
        <w:rPr>
          <w:sz w:val="20"/>
          <w:szCs w:val="20"/>
        </w:rPr>
        <w:t>Milk</w:t>
      </w:r>
      <w:proofErr w:type="spellEnd"/>
      <w:r>
        <w:rPr>
          <w:sz w:val="20"/>
          <w:szCs w:val="20"/>
        </w:rPr>
        <w:t>, uno de los primeros políticos abiertamente gay en Estados Unidos y activista por los derechos LGBT, una vez dijo "</w:t>
      </w:r>
      <w:r>
        <w:rPr>
          <w:sz w:val="20"/>
          <w:szCs w:val="20"/>
        </w:rPr>
        <w:t>No se necesita ningún compromiso para dar a las personas sus derechos. No se necesita dinero para respetar al individuo. No se necesita ningún trato político para dar libertad a las personas. No se necesita ninguna encuesta para eliminar la represión".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>Qu</w:t>
      </w:r>
      <w:r>
        <w:rPr>
          <w:sz w:val="20"/>
          <w:szCs w:val="20"/>
        </w:rPr>
        <w:t>e estas palabras inspiren a empresas y personas líderes a actuar con coherencia durante todo el año.</w:t>
      </w:r>
    </w:p>
    <w:sectPr w:rsidR="00024D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4DC4"/>
    <w:rsid w:val="00024DC4"/>
    <w:rsid w:val="00E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quipo@deib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Mailing de Prensa</cp:lastModifiedBy>
  <cp:revision>2</cp:revision>
  <dcterms:created xsi:type="dcterms:W3CDTF">2025-06-03T18:21:00Z</dcterms:created>
  <dcterms:modified xsi:type="dcterms:W3CDTF">2025-06-03T18:21:00Z</dcterms:modified>
</cp:coreProperties>
</file>