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66A12" w14:textId="77777777" w:rsidR="0035165F" w:rsidRDefault="0090234C">
      <w:pPr>
        <w:spacing w:after="60"/>
        <w:jc w:val="center"/>
      </w:pPr>
      <w:r>
        <w:rPr>
          <w:b/>
          <w:bCs/>
          <w:color w:val="1F3A68"/>
          <w:spacing w:val="30"/>
          <w:sz w:val="18"/>
          <w:szCs w:val="18"/>
        </w:rPr>
        <w:t xml:space="preserve">GACETILLA DE </w:t>
      </w:r>
      <w:proofErr w:type="gramStart"/>
      <w:r>
        <w:rPr>
          <w:b/>
          <w:bCs/>
          <w:color w:val="1F3A68"/>
          <w:spacing w:val="30"/>
          <w:sz w:val="18"/>
          <w:szCs w:val="18"/>
        </w:rPr>
        <w:t>PRENSA  ·</w:t>
      </w:r>
      <w:proofErr w:type="gramEnd"/>
      <w:r>
        <w:rPr>
          <w:b/>
          <w:bCs/>
          <w:color w:val="1F3A68"/>
          <w:spacing w:val="30"/>
          <w:sz w:val="18"/>
          <w:szCs w:val="18"/>
        </w:rPr>
        <w:t xml:space="preserve">  PARA DIFUSIÓN INMEDIATA</w:t>
      </w:r>
    </w:p>
    <w:p w14:paraId="53C02EAC" w14:textId="77777777" w:rsidR="0035165F" w:rsidRDefault="0035165F">
      <w:pPr>
        <w:pBdr>
          <w:bottom w:val="single" w:sz="8" w:space="1" w:color="1F3A68"/>
        </w:pBdr>
        <w:spacing w:after="200"/>
      </w:pPr>
    </w:p>
    <w:p w14:paraId="0ECB592D" w14:textId="77777777" w:rsidR="0035165F" w:rsidRDefault="0090234C">
      <w:pPr>
        <w:spacing w:after="120" w:line="300" w:lineRule="auto"/>
      </w:pPr>
      <w:bookmarkStart w:id="0" w:name="_GoBack"/>
      <w:r>
        <w:rPr>
          <w:b/>
          <w:bCs/>
          <w:sz w:val="28"/>
          <w:szCs w:val="28"/>
        </w:rPr>
        <w:t xml:space="preserve">Federico González desafía a debatir a todos los presidenciables 2027: </w:t>
      </w:r>
      <w:r>
        <w:rPr>
          <w:b/>
          <w:bCs/>
          <w:i/>
          <w:iCs/>
          <w:sz w:val="28"/>
          <w:szCs w:val="28"/>
        </w:rPr>
        <w:t>“la convicción se prueba en la cancha y no en el vestuario”</w:t>
      </w:r>
    </w:p>
    <w:bookmarkEnd w:id="0"/>
    <w:p w14:paraId="2A28BAE9" w14:textId="77777777" w:rsidR="0035165F" w:rsidRDefault="0090234C">
      <w:pPr>
        <w:spacing w:after="240" w:line="280" w:lineRule="auto"/>
        <w:jc w:val="both"/>
      </w:pPr>
      <w:r>
        <w:rPr>
          <w:i/>
          <w:iCs/>
          <w:color w:val="444444"/>
        </w:rPr>
        <w:t xml:space="preserve">El precandidato presidencial publicó un ensayo donde clasifica a los aspirantes en cinco categorías —decididos, ambivalentes, </w:t>
      </w:r>
      <w:proofErr w:type="spellStart"/>
      <w:r>
        <w:rPr>
          <w:i/>
          <w:iCs/>
          <w:color w:val="444444"/>
        </w:rPr>
        <w:t>amagadores</w:t>
      </w:r>
      <w:proofErr w:type="spellEnd"/>
      <w:r>
        <w:rPr>
          <w:i/>
          <w:iCs/>
          <w:color w:val="444444"/>
        </w:rPr>
        <w:t>, dubitativos y silenciosos— y formula cinco desafíos públicos para discutir proyectos, no temperaturas emocionales.</w:t>
      </w:r>
    </w:p>
    <w:p w14:paraId="779752E2" w14:textId="77777777" w:rsidR="0035165F" w:rsidRPr="0090234C" w:rsidRDefault="0090234C">
      <w:pPr>
        <w:spacing w:before="80" w:after="120" w:line="280" w:lineRule="auto"/>
        <w:jc w:val="both"/>
        <w:rPr>
          <w:b/>
          <w:bCs/>
        </w:rPr>
      </w:pPr>
      <w:r>
        <w:rPr>
          <w:b/>
          <w:bCs/>
        </w:rPr>
        <w:t>Bue</w:t>
      </w:r>
      <w:r>
        <w:rPr>
          <w:b/>
          <w:bCs/>
        </w:rPr>
        <w:t xml:space="preserve">nos Aires, 26 de abril de 2026. </w:t>
      </w:r>
      <w:r>
        <w:t xml:space="preserve">Federico González —autor del proyecto </w:t>
      </w:r>
      <w:r>
        <w:rPr>
          <w:i/>
          <w:iCs/>
        </w:rPr>
        <w:t>Desarrollismo Inteligente del Siglo XXI</w:t>
      </w:r>
      <w:r>
        <w:t xml:space="preserve"> y precandidato presidencial desde noviembre de 2025— publicó el ensayo </w:t>
      </w:r>
      <w:r>
        <w:rPr>
          <w:i/>
          <w:iCs/>
        </w:rPr>
        <w:t>“</w:t>
      </w:r>
      <w:r w:rsidRPr="0090234C">
        <w:rPr>
          <w:b/>
          <w:bCs/>
          <w:i/>
          <w:iCs/>
        </w:rPr>
        <w:t xml:space="preserve">Candidatos a Presidente 2027: Decididos, Ambivalentes, </w:t>
      </w:r>
      <w:proofErr w:type="spellStart"/>
      <w:r w:rsidRPr="0090234C">
        <w:rPr>
          <w:b/>
          <w:bCs/>
          <w:i/>
          <w:iCs/>
        </w:rPr>
        <w:t>Amagadores</w:t>
      </w:r>
      <w:proofErr w:type="spellEnd"/>
      <w:r w:rsidRPr="0090234C">
        <w:rPr>
          <w:b/>
          <w:bCs/>
          <w:i/>
          <w:iCs/>
        </w:rPr>
        <w:t>, Dubitat</w:t>
      </w:r>
      <w:r w:rsidRPr="0090234C">
        <w:rPr>
          <w:b/>
          <w:bCs/>
          <w:i/>
          <w:iCs/>
        </w:rPr>
        <w:t>ivos y Silenciosos”</w:t>
      </w:r>
      <w:r>
        <w:t xml:space="preserve">, una radiografía del panorama opositor argentino que parte de una paradoja: </w:t>
      </w:r>
      <w:r w:rsidRPr="0090234C">
        <w:rPr>
          <w:b/>
          <w:bCs/>
        </w:rPr>
        <w:t>la ciudadanía reclama liderazgos claros, pero la cobertura mediática termina premiando la indeterminación y castigando con invisibilidad a quienes ya tienen pro</w:t>
      </w:r>
      <w:r w:rsidRPr="0090234C">
        <w:rPr>
          <w:b/>
          <w:bCs/>
        </w:rPr>
        <w:t>yecto y decisión.</w:t>
      </w:r>
    </w:p>
    <w:p w14:paraId="0353AAEE" w14:textId="77777777" w:rsidR="0035165F" w:rsidRDefault="0090234C">
      <w:pPr>
        <w:spacing w:before="80" w:after="120" w:line="280" w:lineRule="auto"/>
        <w:jc w:val="both"/>
      </w:pPr>
      <w:r>
        <w:t xml:space="preserve">El texto ordena el escenario por </w:t>
      </w:r>
      <w:r>
        <w:rPr>
          <w:b/>
          <w:bCs/>
        </w:rPr>
        <w:t>temperaturas de la decisión</w:t>
      </w:r>
      <w:r>
        <w:t xml:space="preserve">, no por proyectos. Identifica a los </w:t>
      </w:r>
      <w:r>
        <w:rPr>
          <w:b/>
          <w:bCs/>
        </w:rPr>
        <w:t>decididos</w:t>
      </w:r>
      <w:r>
        <w:t xml:space="preserve"> (Javier Milei y el propio González); a quienes tienen voluntad pero la justicia les cerró la pista (Cristina Fernández, Guillermo M</w:t>
      </w:r>
      <w:r>
        <w:t xml:space="preserve">oreno); a los </w:t>
      </w:r>
      <w:r>
        <w:rPr>
          <w:b/>
          <w:bCs/>
        </w:rPr>
        <w:t>ambivalentes</w:t>
      </w:r>
      <w:r>
        <w:t xml:space="preserve"> como Dante Gebel —“un sujeto supuesto candidato y un candidato supuestamente reticente”—; a los </w:t>
      </w:r>
      <w:proofErr w:type="spellStart"/>
      <w:r>
        <w:rPr>
          <w:b/>
          <w:bCs/>
        </w:rPr>
        <w:t>amagadores</w:t>
      </w:r>
      <w:proofErr w:type="spellEnd"/>
      <w:r>
        <w:t xml:space="preserve"> como Carlos </w:t>
      </w:r>
      <w:proofErr w:type="spellStart"/>
      <w:r>
        <w:t>Melconian</w:t>
      </w:r>
      <w:proofErr w:type="spellEnd"/>
      <w:r>
        <w:t xml:space="preserve">; a los </w:t>
      </w:r>
      <w:r>
        <w:rPr>
          <w:b/>
          <w:bCs/>
        </w:rPr>
        <w:t>reclutados sin reclutamiento</w:t>
      </w:r>
      <w:r>
        <w:t xml:space="preserve"> como Marcos </w:t>
      </w:r>
      <w:proofErr w:type="spellStart"/>
      <w:r>
        <w:t>Galperin</w:t>
      </w:r>
      <w:proofErr w:type="spellEnd"/>
      <w:r>
        <w:t xml:space="preserve">; a los </w:t>
      </w:r>
      <w:r>
        <w:rPr>
          <w:b/>
          <w:bCs/>
        </w:rPr>
        <w:t>condicionados peronistas</w:t>
      </w:r>
      <w:r>
        <w:t xml:space="preserve"> (Kicillof, </w:t>
      </w:r>
      <w:proofErr w:type="spellStart"/>
      <w:r>
        <w:t>Uñac</w:t>
      </w:r>
      <w:proofErr w:type="spellEnd"/>
      <w:r>
        <w:t xml:space="preserve">, Brito); a los </w:t>
      </w:r>
      <w:r>
        <w:rPr>
          <w:b/>
          <w:bCs/>
        </w:rPr>
        <w:t>pensados por el círculo rojo</w:t>
      </w:r>
      <w:r>
        <w:t xml:space="preserve"> (Patricia Bullrich, Mauricio Macri); a los </w:t>
      </w:r>
      <w:r>
        <w:rPr>
          <w:b/>
          <w:bCs/>
        </w:rPr>
        <w:t>sinuosos</w:t>
      </w:r>
      <w:r>
        <w:t xml:space="preserve"> como Victoria Villarruel; y a los </w:t>
      </w:r>
      <w:r>
        <w:rPr>
          <w:b/>
          <w:bCs/>
        </w:rPr>
        <w:t>silenciosos</w:t>
      </w:r>
      <w:r>
        <w:t xml:space="preserve"> como Sergio Massa y Gerardo Zamora. Un capítulo aparte y respetuoso para Esteban Bullrich, “que se postula de</w:t>
      </w:r>
      <w:r>
        <w:t>sde un sueño grande, casi épico, sostenido contra el cuerpo y contra el tiempo”.</w:t>
      </w:r>
    </w:p>
    <w:p w14:paraId="3BD125A2" w14:textId="77777777" w:rsidR="0035165F" w:rsidRDefault="0090234C">
      <w:pPr>
        <w:spacing w:before="80" w:after="120" w:line="280" w:lineRule="auto"/>
        <w:jc w:val="both"/>
      </w:pPr>
      <w:r>
        <w:rPr>
          <w:b/>
          <w:bCs/>
        </w:rPr>
        <w:t xml:space="preserve">González cierra con cinco desafíos explícitos: </w:t>
      </w:r>
      <w:r>
        <w:t>exponer el proyecto donde se requiera, defenderlo ante objeciones serias, contrastarlo con los otros modelos —el liberalismo lib</w:t>
      </w:r>
      <w:r>
        <w:t>ertario, el populismo redistributivo, el gradualismo macrista, el desarrollismo clásico—, debatir con todos los demás candidatos y, por último, debatir con el propio presidente Milei o con quien el oficialismo designe en su representación.</w:t>
      </w:r>
    </w:p>
    <w:p w14:paraId="619D8208" w14:textId="77777777" w:rsidR="0035165F" w:rsidRDefault="0090234C">
      <w:pPr>
        <w:pBdr>
          <w:left w:val="single" w:sz="18" w:space="12" w:color="1F3A68"/>
        </w:pBdr>
        <w:spacing w:before="160" w:after="160" w:line="280" w:lineRule="auto"/>
        <w:ind w:left="360" w:right="360"/>
        <w:jc w:val="both"/>
      </w:pPr>
      <w:r>
        <w:rPr>
          <w:b/>
          <w:bCs/>
          <w:i/>
          <w:iCs/>
        </w:rPr>
        <w:t>“En la Argentina</w:t>
      </w:r>
      <w:r>
        <w:rPr>
          <w:b/>
          <w:bCs/>
          <w:i/>
          <w:iCs/>
        </w:rPr>
        <w:t xml:space="preserve"> de 2026, la ambivalencia paga, la indecisión rinde y el silencio cotiza, mientras la convicción se castiga con la invisibilidad. Esa es la paradoja que define el escenario presidencial. Y el modo de romperla no es lamentándose: es asumiendo, en primera pe</w:t>
      </w:r>
      <w:r>
        <w:rPr>
          <w:b/>
          <w:bCs/>
          <w:i/>
          <w:iCs/>
        </w:rPr>
        <w:t>rsona, los cinco desafíos que acabo de formular”</w:t>
      </w:r>
    </w:p>
    <w:p w14:paraId="72925700" w14:textId="77777777" w:rsidR="0035165F" w:rsidRDefault="0090234C">
      <w:pPr>
        <w:spacing w:before="80" w:after="120" w:line="280" w:lineRule="auto"/>
        <w:jc w:val="both"/>
      </w:pPr>
      <w:r>
        <w:t xml:space="preserve">González anunció además la inminente publicación del libro </w:t>
      </w:r>
      <w:r>
        <w:rPr>
          <w:b/>
          <w:bCs/>
          <w:i/>
          <w:iCs/>
        </w:rPr>
        <w:t>Desarrollismo Inteligente del Siglo XXI: Un proyecto para la Argentina futura</w:t>
      </w:r>
      <w:r>
        <w:t xml:space="preserve">, escrito junto al economista Gustavo </w:t>
      </w:r>
      <w:proofErr w:type="spellStart"/>
      <w:r>
        <w:t>Reija</w:t>
      </w:r>
      <w:proofErr w:type="spellEnd"/>
      <w:r>
        <w:t xml:space="preserve"> —referente económico del es</w:t>
      </w:r>
      <w:r>
        <w:t xml:space="preserve">pacio— y al joven </w:t>
      </w:r>
      <w:proofErr w:type="spellStart"/>
      <w:r>
        <w:t>geopolitólogo</w:t>
      </w:r>
      <w:proofErr w:type="spellEnd"/>
      <w:r>
        <w:t xml:space="preserve"> Lucas Arias, autor de los fundamentos de política exterior del proyecto.</w:t>
      </w:r>
    </w:p>
    <w:p w14:paraId="7320A2FE" w14:textId="77777777" w:rsidR="0035165F" w:rsidRDefault="0090234C">
      <w:pPr>
        <w:spacing w:before="80" w:after="120" w:line="280" w:lineRule="auto"/>
        <w:jc w:val="both"/>
      </w:pPr>
      <w:r>
        <w:t xml:space="preserve">El artículo completo se publica bajo licencia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Commons</w:t>
      </w:r>
      <w:proofErr w:type="spellEnd"/>
      <w:r>
        <w:t xml:space="preserve"> Atribución 4.0 Internacional (CC BY 4.0) y está disponible para reproducción, distribuci</w:t>
      </w:r>
      <w:r>
        <w:t>ón y adaptación en cualquier medio, citando al autor.</w:t>
      </w:r>
    </w:p>
    <w:p w14:paraId="4619DE30" w14:textId="77777777" w:rsidR="0035165F" w:rsidRDefault="0035165F">
      <w:pPr>
        <w:pBdr>
          <w:bottom w:val="single" w:sz="6" w:space="1" w:color="1F3A68"/>
        </w:pBdr>
        <w:spacing w:before="200" w:after="120"/>
      </w:pPr>
    </w:p>
    <w:p w14:paraId="696DB146" w14:textId="77777777" w:rsidR="0035165F" w:rsidRDefault="0090234C">
      <w:pPr>
        <w:spacing w:before="60" w:after="40"/>
      </w:pPr>
      <w:r>
        <w:rPr>
          <w:b/>
          <w:bCs/>
          <w:color w:val="1F3A68"/>
          <w:sz w:val="20"/>
          <w:szCs w:val="20"/>
        </w:rPr>
        <w:t>Contacto de prensa</w:t>
      </w:r>
    </w:p>
    <w:p w14:paraId="3036C277" w14:textId="77777777" w:rsidR="0035165F" w:rsidRDefault="0090234C">
      <w:pPr>
        <w:spacing w:line="260" w:lineRule="auto"/>
      </w:pPr>
      <w:r>
        <w:rPr>
          <w:sz w:val="20"/>
          <w:szCs w:val="20"/>
        </w:rPr>
        <w:t xml:space="preserve">Federico González — Desarrollismo Inteligente del Siglo XXI </w:t>
      </w:r>
    </w:p>
    <w:p w14:paraId="3FCF289F" w14:textId="77777777" w:rsidR="0035165F" w:rsidRDefault="0090234C">
      <w:pPr>
        <w:spacing w:line="260" w:lineRule="auto"/>
      </w:pPr>
      <w:r>
        <w:rPr>
          <w:sz w:val="20"/>
          <w:szCs w:val="20"/>
        </w:rPr>
        <w:lastRenderedPageBreak/>
        <w:t>Tel.: 11-6631-3421</w:t>
      </w:r>
    </w:p>
    <w:sectPr w:rsidR="0035165F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94F53"/>
    <w:multiLevelType w:val="hybridMultilevel"/>
    <w:tmpl w:val="C5FE3A3A"/>
    <w:lvl w:ilvl="0" w:tplc="1EB4456C">
      <w:start w:val="1"/>
      <w:numFmt w:val="bullet"/>
      <w:lvlText w:val="●"/>
      <w:lvlJc w:val="left"/>
      <w:pPr>
        <w:ind w:left="720" w:hanging="360"/>
      </w:pPr>
    </w:lvl>
    <w:lvl w:ilvl="1" w:tplc="B7C8E5EC">
      <w:start w:val="1"/>
      <w:numFmt w:val="bullet"/>
      <w:lvlText w:val="○"/>
      <w:lvlJc w:val="left"/>
      <w:pPr>
        <w:ind w:left="1440" w:hanging="360"/>
      </w:pPr>
    </w:lvl>
    <w:lvl w:ilvl="2" w:tplc="2C24D28E">
      <w:start w:val="1"/>
      <w:numFmt w:val="bullet"/>
      <w:lvlText w:val="■"/>
      <w:lvlJc w:val="left"/>
      <w:pPr>
        <w:ind w:left="2160" w:hanging="360"/>
      </w:pPr>
    </w:lvl>
    <w:lvl w:ilvl="3" w:tplc="0FE88DE4">
      <w:start w:val="1"/>
      <w:numFmt w:val="bullet"/>
      <w:lvlText w:val="●"/>
      <w:lvlJc w:val="left"/>
      <w:pPr>
        <w:ind w:left="2880" w:hanging="360"/>
      </w:pPr>
    </w:lvl>
    <w:lvl w:ilvl="4" w:tplc="05C80524">
      <w:start w:val="1"/>
      <w:numFmt w:val="bullet"/>
      <w:lvlText w:val="○"/>
      <w:lvlJc w:val="left"/>
      <w:pPr>
        <w:ind w:left="3600" w:hanging="360"/>
      </w:pPr>
    </w:lvl>
    <w:lvl w:ilvl="5" w:tplc="92A42338">
      <w:start w:val="1"/>
      <w:numFmt w:val="bullet"/>
      <w:lvlText w:val="■"/>
      <w:lvlJc w:val="left"/>
      <w:pPr>
        <w:ind w:left="4320" w:hanging="360"/>
      </w:pPr>
    </w:lvl>
    <w:lvl w:ilvl="6" w:tplc="9B5A648A">
      <w:start w:val="1"/>
      <w:numFmt w:val="bullet"/>
      <w:lvlText w:val="●"/>
      <w:lvlJc w:val="left"/>
      <w:pPr>
        <w:ind w:left="5040" w:hanging="360"/>
      </w:pPr>
    </w:lvl>
    <w:lvl w:ilvl="7" w:tplc="96467F98">
      <w:start w:val="1"/>
      <w:numFmt w:val="bullet"/>
      <w:lvlText w:val="●"/>
      <w:lvlJc w:val="left"/>
      <w:pPr>
        <w:ind w:left="5760" w:hanging="360"/>
      </w:pPr>
    </w:lvl>
    <w:lvl w:ilvl="8" w:tplc="4A9A5D4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5F"/>
    <w:rsid w:val="0035165F"/>
    <w:rsid w:val="0090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959AAA"/>
  <w15:docId w15:val="{5D365440-165D-4557-807D-A67466FD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Federico</cp:lastModifiedBy>
  <cp:revision>2</cp:revision>
  <dcterms:created xsi:type="dcterms:W3CDTF">2026-04-26T23:54:00Z</dcterms:created>
  <dcterms:modified xsi:type="dcterms:W3CDTF">2026-04-26T23:54:00Z</dcterms:modified>
</cp:coreProperties>
</file>