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F56EA" w:rsidRDefault="0073015B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  <w:bookmarkStart w:id="0" w:name="_GoBack"/>
      <w:bookmarkEnd w:id="0"/>
      <w:r>
        <w:rPr>
          <w:rFonts w:ascii="Roboto" w:eastAsia="Roboto" w:hAnsi="Roboto" w:cs="Roboto"/>
          <w:b/>
          <w:bCs/>
          <w:color w:val="3D85C6"/>
          <w:sz w:val="21"/>
          <w:szCs w:val="21"/>
          <w:highlight w:val="white"/>
        </w:rPr>
        <w:t>Fuente</w:t>
      </w:r>
      <w:r>
        <w:rPr>
          <w:rFonts w:ascii="Roboto" w:eastAsia="Roboto" w:hAnsi="Roboto" w:cs="Roboto"/>
          <w:sz w:val="21"/>
          <w:szCs w:val="21"/>
          <w:highlight w:val="white"/>
        </w:rPr>
        <w:t>:</w:t>
      </w:r>
    </w:p>
    <w:p w14:paraId="00000002" w14:textId="77777777" w:rsidR="002F56EA" w:rsidRDefault="0073015B">
      <w:pPr>
        <w:spacing w:after="200"/>
        <w:jc w:val="both"/>
        <w:rPr>
          <w:rFonts w:ascii="Roboto" w:eastAsia="Roboto" w:hAnsi="Roboto" w:cs="Roboto"/>
          <w:sz w:val="18"/>
          <w:szCs w:val="18"/>
          <w:highlight w:val="white"/>
        </w:rPr>
      </w:pPr>
      <w:hyperlink r:id="rId5">
        <w:r>
          <w:rPr>
            <w:rFonts w:ascii="Roboto" w:eastAsia="Roboto" w:hAnsi="Roboto" w:cs="Roboto"/>
            <w:b/>
            <w:bCs/>
            <w:color w:val="1155CC"/>
            <w:sz w:val="21"/>
            <w:szCs w:val="21"/>
            <w:highlight w:val="white"/>
            <w:u w:val="single"/>
          </w:rPr>
          <w:t>GASTÓN BOIREAU</w:t>
        </w:r>
      </w:hyperlink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(Fundador de </w:t>
      </w:r>
      <w:proofErr w:type="spellStart"/>
      <w:r>
        <w:rPr>
          <w:rFonts w:ascii="Roboto" w:eastAsia="Roboto" w:hAnsi="Roboto" w:cs="Roboto"/>
          <w:sz w:val="18"/>
          <w:szCs w:val="18"/>
          <w:highlight w:val="white"/>
        </w:rPr>
        <w:t>DEIBme</w:t>
      </w:r>
      <w:proofErr w:type="spellEnd"/>
      <w:r>
        <w:rPr>
          <w:rFonts w:ascii="Roboto" w:eastAsia="Roboto" w:hAnsi="Roboto" w:cs="Roboto"/>
          <w:sz w:val="18"/>
          <w:szCs w:val="18"/>
          <w:highlight w:val="white"/>
        </w:rPr>
        <w:t xml:space="preserve">, </w:t>
      </w:r>
      <w:r>
        <w:rPr>
          <w:rFonts w:ascii="Roboto" w:eastAsia="Roboto" w:hAnsi="Roboto" w:cs="Roboto"/>
          <w:color w:val="38761D"/>
          <w:sz w:val="18"/>
          <w:szCs w:val="18"/>
          <w:highlight w:val="white"/>
        </w:rPr>
        <w:t xml:space="preserve">Especialista en Aprendizaje y Desarrollo de Personas en </w:t>
      </w:r>
      <w:hyperlink r:id="rId6">
        <w:proofErr w:type="spellStart"/>
        <w:r>
          <w:rPr>
            <w:rFonts w:ascii="Roboto" w:eastAsia="Roboto" w:hAnsi="Roboto" w:cs="Roboto"/>
            <w:color w:val="1155CC"/>
            <w:sz w:val="18"/>
            <w:szCs w:val="18"/>
            <w:highlight w:val="white"/>
            <w:u w:val="single"/>
          </w:rPr>
          <w:t>DEIBme</w:t>
        </w:r>
        <w:proofErr w:type="spellEnd"/>
      </w:hyperlink>
      <w:r>
        <w:rPr>
          <w:rFonts w:ascii="Roboto" w:eastAsia="Roboto" w:hAnsi="Roboto" w:cs="Roboto"/>
          <w:sz w:val="18"/>
          <w:szCs w:val="18"/>
          <w:highlight w:val="white"/>
        </w:rPr>
        <w:t xml:space="preserve">. </w:t>
      </w:r>
      <w:r>
        <w:rPr>
          <w:rFonts w:ascii="Roboto" w:eastAsia="Roboto" w:hAnsi="Roboto" w:cs="Roboto"/>
          <w:color w:val="0B5394"/>
          <w:sz w:val="18"/>
          <w:szCs w:val="18"/>
          <w:highlight w:val="white"/>
        </w:rPr>
        <w:t xml:space="preserve">Miembro Comunidad DEI </w:t>
      </w:r>
      <w:hyperlink r:id="rId7">
        <w:proofErr w:type="spellStart"/>
        <w:r>
          <w:rPr>
            <w:rFonts w:ascii="Roboto" w:eastAsia="Roboto" w:hAnsi="Roboto" w:cs="Roboto"/>
            <w:color w:val="1155CC"/>
            <w:sz w:val="18"/>
            <w:szCs w:val="18"/>
            <w:highlight w:val="white"/>
            <w:u w:val="single"/>
          </w:rPr>
          <w:t>AdRHA</w:t>
        </w:r>
        <w:proofErr w:type="spellEnd"/>
      </w:hyperlink>
      <w:r>
        <w:rPr>
          <w:rFonts w:ascii="Roboto" w:eastAsia="Roboto" w:hAnsi="Roboto" w:cs="Roboto"/>
          <w:sz w:val="18"/>
          <w:szCs w:val="18"/>
          <w:highlight w:val="white"/>
        </w:rPr>
        <w:t>) Licenciado en Recursos Humanos, Master en Estudios de Mujeres, Género y Ciudadanía.</w:t>
      </w:r>
    </w:p>
    <w:p w14:paraId="00000003" w14:textId="77777777" w:rsidR="002F56EA" w:rsidRDefault="002F56EA">
      <w:pPr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00000004" w14:textId="77777777" w:rsidR="002F56EA" w:rsidRDefault="0073015B">
      <w:pPr>
        <w:jc w:val="both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bCs/>
          <w:color w:val="3D85C6"/>
          <w:sz w:val="21"/>
          <w:szCs w:val="21"/>
          <w:highlight w:val="white"/>
        </w:rPr>
        <w:t>Referencia de contacto</w:t>
      </w:r>
      <w:r>
        <w:rPr>
          <w:rFonts w:ascii="Roboto" w:eastAsia="Roboto" w:hAnsi="Roboto" w:cs="Roboto"/>
          <w:sz w:val="21"/>
          <w:szCs w:val="21"/>
          <w:highlight w:val="white"/>
        </w:rPr>
        <w:t>:</w:t>
      </w:r>
      <w:r>
        <w:rPr>
          <w:rFonts w:ascii="Roboto" w:eastAsia="Roboto" w:hAnsi="Roboto" w:cs="Roboto"/>
          <w:sz w:val="21"/>
          <w:szCs w:val="21"/>
          <w:highlight w:val="white"/>
        </w:rPr>
        <w:br/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GASTON BOIREAU LAHORE</w:t>
      </w:r>
      <w:r>
        <w:rPr>
          <w:rFonts w:ascii="Roboto" w:eastAsia="Roboto" w:hAnsi="Roboto" w:cs="Roboto"/>
          <w:sz w:val="20"/>
          <w:szCs w:val="20"/>
          <w:highlight w:val="white"/>
        </w:rPr>
        <w:br/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Partner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0"/>
          <w:szCs w:val="20"/>
          <w:highlight w:val="white"/>
        </w:rPr>
        <w:t>DEIBme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>, Especialista en Aprendizaje y Desarrollo con enfoque en Diversidad e Inclusión</w:t>
      </w:r>
      <w:r>
        <w:rPr>
          <w:rFonts w:ascii="Roboto" w:eastAsia="Roboto" w:hAnsi="Roboto" w:cs="Roboto"/>
          <w:sz w:val="20"/>
          <w:szCs w:val="20"/>
          <w:highlight w:val="white"/>
        </w:rPr>
        <w:br/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Correo electrónico</w:t>
      </w:r>
      <w:r>
        <w:rPr>
          <w:rFonts w:ascii="Roboto" w:eastAsia="Roboto" w:hAnsi="Roboto" w:cs="Roboto"/>
          <w:sz w:val="20"/>
          <w:szCs w:val="20"/>
          <w:highlight w:val="white"/>
        </w:rPr>
        <w:t>: gaston@deibme.com</w:t>
      </w:r>
    </w:p>
    <w:p w14:paraId="00000005" w14:textId="77777777" w:rsidR="002F56EA" w:rsidRDefault="0073015B">
      <w:pPr>
        <w:jc w:val="both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Teléfono (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WhatsApp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)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: </w:t>
      </w:r>
      <w:bdo w:val="ltr">
        <w:r>
          <w:rPr>
            <w:rFonts w:ascii="Roboto" w:eastAsia="Roboto" w:hAnsi="Roboto" w:cs="Roboto"/>
            <w:sz w:val="20"/>
            <w:szCs w:val="20"/>
            <w:highlight w:val="white"/>
          </w:rPr>
          <w:t>11 6676 3942</w:t>
        </w:r>
        <w:r>
          <w:rPr>
            <w:rFonts w:ascii="Roboto" w:eastAsia="Roboto" w:hAnsi="Roboto" w:cs="Roboto"/>
            <w:sz w:val="20"/>
            <w:szCs w:val="20"/>
            <w:highlight w:val="white"/>
          </w:rPr>
          <w:t>‬</w:t>
        </w:r>
      </w:bdo>
    </w:p>
    <w:p w14:paraId="00000006" w14:textId="77777777" w:rsidR="002F56EA" w:rsidRDefault="0073015B">
      <w:pPr>
        <w:jc w:val="both"/>
        <w:rPr>
          <w:b/>
          <w:bCs/>
          <w:sz w:val="46"/>
          <w:szCs w:val="46"/>
        </w:rPr>
      </w:pPr>
      <w:r>
        <w:pict w14:anchorId="257E2134">
          <v:rect id="_x0000_i1025" style="width:0;height:1.5pt" o:hralign="center" o:hrstd="t" o:hr="t" fillcolor="#a0a0a0" stroked="f"/>
        </w:pict>
      </w:r>
    </w:p>
    <w:p w14:paraId="00000007" w14:textId="77777777" w:rsidR="002F56EA" w:rsidRDefault="0073015B">
      <w:pPr>
        <w:pStyle w:val="Ttulo2"/>
        <w:keepNext w:val="0"/>
        <w:keepLines w:val="0"/>
        <w:spacing w:after="80" w:line="360" w:lineRule="auto"/>
        <w:jc w:val="both"/>
        <w:rPr>
          <w:b/>
          <w:bCs/>
          <w:sz w:val="34"/>
          <w:szCs w:val="34"/>
        </w:rPr>
      </w:pPr>
      <w:bookmarkStart w:id="1" w:name="_ii84imjia95w" w:colFirst="0" w:colLast="0"/>
      <w:bookmarkEnd w:id="1"/>
      <w:r>
        <w:rPr>
          <w:b/>
          <w:bCs/>
          <w:sz w:val="34"/>
          <w:szCs w:val="34"/>
        </w:rPr>
        <w:t>¿Y si el mayor obstáculo no fuera el “techo de cristal”, sino el primer peldaño?</w:t>
      </w:r>
    </w:p>
    <w:p w14:paraId="00000008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Por </w:t>
      </w:r>
      <w:r>
        <w:rPr>
          <w:sz w:val="20"/>
          <w:szCs w:val="20"/>
        </w:rPr>
        <w:t xml:space="preserve">cada 100 hombres promovidos a manager, solo 81 mujeres lo logran. La cifra desciende a 77 en el caso de mujeres </w:t>
      </w:r>
      <w:proofErr w:type="spellStart"/>
      <w:r>
        <w:rPr>
          <w:sz w:val="20"/>
          <w:szCs w:val="20"/>
        </w:rPr>
        <w:t>racializadas</w:t>
      </w:r>
      <w:proofErr w:type="spellEnd"/>
      <w:r>
        <w:rPr>
          <w:sz w:val="20"/>
          <w:szCs w:val="20"/>
        </w:rPr>
        <w:t xml:space="preserve">, a 68 para latinas y 58 para mujeres de color o </w:t>
      </w:r>
      <w:proofErr w:type="spellStart"/>
      <w:r>
        <w:rPr>
          <w:sz w:val="20"/>
          <w:szCs w:val="20"/>
        </w:rPr>
        <w:t>afrodescendientes</w:t>
      </w:r>
      <w:proofErr w:type="spellEnd"/>
      <w:r>
        <w:rPr>
          <w:sz w:val="20"/>
          <w:szCs w:val="20"/>
        </w:rPr>
        <w:t xml:space="preserve">. Este </w:t>
      </w:r>
      <w:r>
        <w:rPr>
          <w:b/>
          <w:bCs/>
          <w:sz w:val="20"/>
          <w:szCs w:val="20"/>
        </w:rPr>
        <w:t>"peldaño roto"</w:t>
      </w:r>
      <w:r>
        <w:rPr>
          <w:sz w:val="20"/>
          <w:szCs w:val="20"/>
        </w:rPr>
        <w:t xml:space="preserve"> es una metáfora que hace referencia a una ba</w:t>
      </w:r>
      <w:r>
        <w:rPr>
          <w:sz w:val="20"/>
          <w:szCs w:val="20"/>
        </w:rPr>
        <w:t xml:space="preserve">rrera concreta que impide avanzar, limita </w:t>
      </w:r>
      <w:proofErr w:type="gramStart"/>
      <w:r>
        <w:rPr>
          <w:sz w:val="20"/>
          <w:szCs w:val="20"/>
        </w:rPr>
        <w:t>ingresos</w:t>
      </w:r>
      <w:proofErr w:type="gramEnd"/>
      <w:r>
        <w:rPr>
          <w:sz w:val="20"/>
          <w:szCs w:val="20"/>
        </w:rPr>
        <w:t>, reduce oportunidades de liderazgo y achica la representación femenina en toda la estructura organizacional.</w:t>
      </w:r>
    </w:p>
    <w:p w14:paraId="00000009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 paradójico es que las mujeres se gradúan más, tienen mejores promedios y aspiran con la misma</w:t>
      </w:r>
      <w:r>
        <w:rPr>
          <w:sz w:val="20"/>
          <w:szCs w:val="20"/>
        </w:rPr>
        <w:t xml:space="preserve"> fuerza y motivación a liderar que sus pares varones. Pero al llegar al trabajo, algo se rompe y la clave está en el </w:t>
      </w:r>
      <w:r>
        <w:rPr>
          <w:b/>
          <w:bCs/>
          <w:sz w:val="20"/>
          <w:szCs w:val="20"/>
        </w:rPr>
        <w:t>capital de experiencia</w:t>
      </w:r>
      <w:r>
        <w:rPr>
          <w:sz w:val="20"/>
          <w:szCs w:val="20"/>
        </w:rPr>
        <w:t xml:space="preserve"> como combinación de habilidades, aprendizajes y sabiduría que no viene del aula, sino del hacer y saber-hacer. Y ahí</w:t>
      </w:r>
      <w:r>
        <w:rPr>
          <w:sz w:val="20"/>
          <w:szCs w:val="20"/>
        </w:rPr>
        <w:t xml:space="preserve"> es donde las mujeres reciben menos oportunidades (y mucho menos reconocimiento).</w:t>
      </w:r>
    </w:p>
    <w:p w14:paraId="0000000A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Esta dificultad en el primer paso se ve reflejada en la brecha global: las mujeres ocupan solo el </w:t>
      </w:r>
      <w:r>
        <w:rPr>
          <w:b/>
          <w:bCs/>
          <w:sz w:val="20"/>
          <w:szCs w:val="20"/>
        </w:rPr>
        <w:t>30% de los puestos directivos</w:t>
      </w:r>
      <w:r>
        <w:rPr>
          <w:sz w:val="20"/>
          <w:szCs w:val="20"/>
        </w:rPr>
        <w:t xml:space="preserve"> y, en términos salariales, ganan </w:t>
      </w:r>
      <w:r>
        <w:rPr>
          <w:b/>
          <w:bCs/>
          <w:sz w:val="20"/>
          <w:szCs w:val="20"/>
        </w:rPr>
        <w:t>77 céntimos p</w:t>
      </w:r>
      <w:r>
        <w:rPr>
          <w:b/>
          <w:bCs/>
          <w:sz w:val="20"/>
          <w:szCs w:val="20"/>
        </w:rPr>
        <w:t>or cada dólar que gana un hombre</w:t>
      </w:r>
      <w:r>
        <w:rPr>
          <w:sz w:val="20"/>
          <w:szCs w:val="20"/>
        </w:rPr>
        <w:t>, según datos de ONU Mujeres. Además, la infrarrepresentación en la toma de decisiones es global, lo que evidencia que la barrera no está solo en la cima.</w:t>
      </w:r>
    </w:p>
    <w:p w14:paraId="0000000B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Broken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Rung</w:t>
      </w:r>
      <w:proofErr w:type="spellEnd"/>
      <w:r>
        <w:rPr>
          <w:sz w:val="20"/>
          <w:szCs w:val="20"/>
        </w:rPr>
        <w:t xml:space="preserve"> propone desnaturalizar una de las trampas más efectiv</w:t>
      </w:r>
      <w:r>
        <w:rPr>
          <w:sz w:val="20"/>
          <w:szCs w:val="20"/>
        </w:rPr>
        <w:t xml:space="preserve">as de la desigualdad: el </w:t>
      </w:r>
      <w:r>
        <w:rPr>
          <w:b/>
          <w:bCs/>
          <w:sz w:val="20"/>
          <w:szCs w:val="20"/>
        </w:rPr>
        <w:t>falso mérito</w:t>
      </w:r>
      <w:r>
        <w:rPr>
          <w:sz w:val="20"/>
          <w:szCs w:val="20"/>
        </w:rPr>
        <w:t>. Porque cuando el sistema está diseñado para reconocer más rápido el potencial de ciertos cuerpos —generalmente masculinos, jóvenes, blancos, con estudios, disponibles full time y sin cargas de cuidado—, hablar de igua</w:t>
      </w:r>
      <w:r>
        <w:rPr>
          <w:sz w:val="20"/>
          <w:szCs w:val="20"/>
        </w:rPr>
        <w:t>ldad de oportunidades es, al menos, ingenuo. El problema es sistémico:</w:t>
      </w:r>
    </w:p>
    <w:p w14:paraId="0000000C" w14:textId="77777777" w:rsidR="002F56EA" w:rsidRDefault="0073015B">
      <w:pPr>
        <w:numPr>
          <w:ilvl w:val="0"/>
          <w:numId w:val="1"/>
        </w:numPr>
        <w:spacing w:before="240"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Las mujeres llevan a cabo al menos </w:t>
      </w:r>
      <w:r>
        <w:rPr>
          <w:b/>
          <w:bCs/>
          <w:sz w:val="20"/>
          <w:szCs w:val="20"/>
        </w:rPr>
        <w:t>2,5 veces más trabajo de hogar y de cuidado no remunerado</w:t>
      </w:r>
      <w:r>
        <w:rPr>
          <w:sz w:val="20"/>
          <w:szCs w:val="20"/>
        </w:rPr>
        <w:t xml:space="preserve"> que los hombres, un factor que impacta directamente en su disponibilidad y la posibilidad de</w:t>
      </w:r>
      <w:r>
        <w:rPr>
          <w:sz w:val="20"/>
          <w:szCs w:val="20"/>
        </w:rPr>
        <w:t xml:space="preserve"> acumular el capital de experiencia.</w:t>
      </w:r>
    </w:p>
    <w:p w14:paraId="0000000D" w14:textId="77777777" w:rsidR="002F56EA" w:rsidRDefault="0073015B">
      <w:pPr>
        <w:numPr>
          <w:ilvl w:val="0"/>
          <w:numId w:val="1"/>
        </w:numPr>
        <w:spacing w:after="24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El texto aborda con lucidez otras dimensiones como la maternidad, la salud, el sesgo de simpatía, los costos ocultos del </w:t>
      </w:r>
      <w:proofErr w:type="spellStart"/>
      <w:r>
        <w:rPr>
          <w:i/>
          <w:iCs/>
          <w:sz w:val="20"/>
          <w:szCs w:val="20"/>
        </w:rPr>
        <w:t>networking</w:t>
      </w:r>
      <w:proofErr w:type="spellEnd"/>
      <w:r>
        <w:rPr>
          <w:sz w:val="20"/>
          <w:szCs w:val="20"/>
        </w:rPr>
        <w:t xml:space="preserve"> y la penalización de estilos de liderazgo que se alejan del modelo hegemónico.</w:t>
      </w:r>
    </w:p>
    <w:p w14:paraId="0000000E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También nos obliga a mirar el rol de las organizaciones: se necesitan políticas claras, </w:t>
      </w:r>
      <w:proofErr w:type="spellStart"/>
      <w:r>
        <w:rPr>
          <w:i/>
          <w:iCs/>
          <w:sz w:val="20"/>
          <w:szCs w:val="20"/>
        </w:rPr>
        <w:t>accountability</w:t>
      </w:r>
      <w:proofErr w:type="spellEnd"/>
      <w:r>
        <w:rPr>
          <w:sz w:val="20"/>
          <w:szCs w:val="20"/>
        </w:rPr>
        <w:t xml:space="preserve">, indicadores que midan no solo quién llega, sino quién tiene permiso real para avanzar. Si el primer peldaño está roto, nunca se llegará a la cima, y lo </w:t>
      </w:r>
      <w:r>
        <w:rPr>
          <w:sz w:val="20"/>
          <w:szCs w:val="20"/>
        </w:rPr>
        <w:t xml:space="preserve">que se reproduce no es mérito, sino </w:t>
      </w:r>
      <w:r>
        <w:rPr>
          <w:b/>
          <w:bCs/>
          <w:sz w:val="20"/>
          <w:szCs w:val="20"/>
        </w:rPr>
        <w:t>desigualdad estructural</w:t>
      </w:r>
      <w:r>
        <w:rPr>
          <w:sz w:val="20"/>
          <w:szCs w:val="20"/>
        </w:rPr>
        <w:t>. Y si queremos futuro con igualdad, hay que construirlo desde abajo.</w:t>
      </w:r>
    </w:p>
    <w:p w14:paraId="0000000F" w14:textId="77777777" w:rsidR="002F56EA" w:rsidRDefault="0073015B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Un abrazo, </w:t>
      </w:r>
      <w:proofErr w:type="spellStart"/>
      <w:r>
        <w:rPr>
          <w:sz w:val="20"/>
          <w:szCs w:val="20"/>
        </w:rPr>
        <w:t>Gaston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Boireau</w:t>
      </w:r>
      <w:proofErr w:type="spellEnd"/>
      <w:r>
        <w:rPr>
          <w:sz w:val="20"/>
          <w:szCs w:val="20"/>
        </w:rPr>
        <w:t xml:space="preserve"> Lahore</w:t>
      </w:r>
    </w:p>
    <w:p w14:paraId="00000010" w14:textId="77777777" w:rsidR="002F56EA" w:rsidRDefault="002F56EA">
      <w:pPr>
        <w:spacing w:before="240" w:after="240" w:line="360" w:lineRule="auto"/>
        <w:jc w:val="both"/>
        <w:rPr>
          <w:i/>
          <w:iCs/>
          <w:sz w:val="20"/>
          <w:szCs w:val="20"/>
        </w:rPr>
      </w:pPr>
    </w:p>
    <w:sectPr w:rsidR="002F56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  <w:embedRegular r:id="rId1" w:fontKey="{E59A162A-604E-4DF2-9E42-57FE9211C570}"/>
    <w:embedBold r:id="rId2" w:fontKey="{DC2C5FC3-471B-4F93-8C34-E0011DF448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36DFDA-5D64-408A-9208-C9B3ECCAC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F5FC3B-4F09-40B6-9BA1-1895EB2D66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6314D2"/>
    <w:multiLevelType w:val="multilevel"/>
    <w:tmpl w:val="BB926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6EA"/>
    <w:rsid w:val="002F56EA"/>
    <w:rsid w:val="0073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18ADC1A-21C2-4005-9CE9-C91435D5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drha.org.a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ibme.com/" TargetMode="External"/><Relationship Id="rId5" Type="http://schemas.openxmlformats.org/officeDocument/2006/relationships/hyperlink" Target="https://www.linkedin.com/in/gastonboireau/?lipi=urn%3Ali%3Apage%3Ad_flagship3_pulse_read%3BoEFNIaCVTGuTdi%2FjyMgmOg%3D%3D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Langeneker Daniel</dc:creator>
  <cp:lastModifiedBy>Langeneker Daniel</cp:lastModifiedBy>
  <cp:revision>2</cp:revision>
  <dcterms:created xsi:type="dcterms:W3CDTF">2025-12-03T18:34:00Z</dcterms:created>
  <dcterms:modified xsi:type="dcterms:W3CDTF">2025-12-03T18:34:00Z</dcterms:modified>
</cp:coreProperties>
</file>