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B0779">
      <w:pPr>
        <w:keepNext w:val="0"/>
        <w:keepLines w:val="0"/>
        <w:widowControl/>
        <w:suppressLineNumbers w:val="0"/>
        <w:spacing w:line="360" w:lineRule="auto"/>
        <w:jc w:val="right"/>
        <w:rPr>
          <w:rFonts w:hint="default" w:ascii="Verdana" w:hAnsi="Verdana" w:cs="Verdana"/>
          <w:sz w:val="22"/>
          <w:szCs w:val="22"/>
        </w:rPr>
      </w:pPr>
      <w:r>
        <w:rPr>
          <w:rFonts w:hint="default" w:ascii="Verdana" w:hAnsi="Verdana" w:eastAsia="SimSun" w:cs="Verdana"/>
          <w:b/>
          <w:bCs/>
          <w:kern w:val="0"/>
          <w:sz w:val="22"/>
          <w:szCs w:val="22"/>
          <w:lang w:val="en-US" w:eastAsia="zh-CN" w:bidi="ar"/>
        </w:rPr>
        <w:t>Gacetilla de Prensa 06/11/26</w:t>
      </w:r>
    </w:p>
    <w:p w14:paraId="6B8A29F6">
      <w:pPr>
        <w:keepNext w:val="0"/>
        <w:keepLines w:val="0"/>
        <w:widowControl/>
        <w:suppressLineNumbers w:val="0"/>
        <w:spacing w:line="360" w:lineRule="auto"/>
        <w:jc w:val="both"/>
        <w:rPr>
          <w:rFonts w:hint="default" w:ascii="Verdana" w:hAnsi="Verdana" w:cs="Verdana"/>
          <w:sz w:val="22"/>
          <w:szCs w:val="22"/>
        </w:rPr>
      </w:pPr>
    </w:p>
    <w:p w14:paraId="28183693">
      <w:pPr>
        <w:keepNext w:val="0"/>
        <w:keepLines w:val="0"/>
        <w:widowControl/>
        <w:suppressLineNumbers w:val="0"/>
        <w:spacing w:line="360" w:lineRule="auto"/>
        <w:jc w:val="both"/>
        <w:rPr>
          <w:rFonts w:hint="default" w:ascii="Verdana" w:hAnsi="Verdana" w:cs="Verdana"/>
          <w:sz w:val="22"/>
          <w:szCs w:val="22"/>
        </w:rPr>
      </w:pPr>
    </w:p>
    <w:p w14:paraId="7F04D5D4">
      <w:pPr>
        <w:keepNext w:val="0"/>
        <w:keepLines w:val="0"/>
        <w:widowControl/>
        <w:suppressLineNumbers w:val="0"/>
        <w:spacing w:line="360" w:lineRule="auto"/>
        <w:jc w:val="both"/>
        <w:rPr>
          <w:rFonts w:hint="default" w:ascii="Verdana" w:hAnsi="Verdana" w:eastAsia="SimSun" w:cs="Verdana"/>
          <w:kern w:val="0"/>
          <w:sz w:val="22"/>
          <w:szCs w:val="22"/>
          <w:lang w:val="en-US" w:eastAsia="zh-CN" w:bidi="ar"/>
        </w:rPr>
      </w:pPr>
      <w:r>
        <w:rPr>
          <w:rFonts w:hint="default" w:ascii="Verdana" w:hAnsi="Verdana" w:eastAsia="SimSun" w:cs="Verdana"/>
          <w:b/>
          <w:bCs/>
          <w:kern w:val="0"/>
          <w:sz w:val="22"/>
          <w:szCs w:val="22"/>
          <w:lang w:val="en-US" w:eastAsia="zh-CN" w:bidi="ar"/>
        </w:rPr>
        <w:t>SUPARA firmó un convenio con la Asociación de Abogados de Buenos Aires para fortalecer la capacitación aduanera</w:t>
      </w:r>
      <w:r>
        <w:rPr>
          <w:rFonts w:hint="default" w:ascii="Verdana" w:hAnsi="Verdana" w:eastAsia="SimSun" w:cs="Verdana"/>
          <w:b/>
          <w:bCs/>
          <w:kern w:val="0"/>
          <w:sz w:val="22"/>
          <w:szCs w:val="22"/>
          <w:lang w:val="en-US" w:eastAsia="zh-CN" w:bidi="ar"/>
        </w:rPr>
        <w:br w:type="textWrapping"/>
      </w:r>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t>El Sindicato Único del Personal Aduanero de la República Argentina (SUPARA), encabezado por su secretario general, Daniel Mallotti, firmó un convenio de cooperación con la Asociación de Abogados de Buenos Aires (AABA) destinado a impulsar la formación y capacitación en materia aduanera, cambiaria y de comercio exterior.</w:t>
      </w:r>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t>La iniciativa busca consolidar espacios de intercambio y trabajo conjunto entre la organización sindical, el ámbito académico y los profesionales especializados, con el objetivo de ampliar las oportunidades de formación y actualización en áreas fundamentales para el desarrollo de la actividad aduanera.</w:t>
      </w:r>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t>En representación del SUPARA participaron Daniel Mallotti, secretario general; Ianina Michel, secretaria de Relaciones Institucionales; Yanela Márquez, secretaria de Capacitación y Cultura; y Agustín Albrieu, secretario de Prensa, Difusión y Actas. Por parte de la AABA estuvieron presentes su presidente, Juan Pablo Zanetta, y Pablo Garbarino y Noelia Amendola, directores del Posgrado de Derecho Aduanero, Cambiario y Comercio Exterior UBA-AABA.</w:t>
      </w:r>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t>En ese marco, Mallotti destacó la importancia de generar herramientas que contribuyan al crecimiento profesional de los trabajadores aduaneros y al fortalecimiento de sus conocimientos. “La capacitación es una herramienta fundamental para jerarquizar nuestra actividad y acompañar los desafíos que plantea permanentemente el comercio exterior. Desde el SUPARA entendemos que es indispensable generar espacios de cooperación con instituciones académicas y profesionales que permitan brindar más y mejores oportunidades de formación a nuestros compañeros y compañeras”, expresó el dirigente.</w:t>
      </w:r>
      <w:r>
        <w:rPr>
          <w:rFonts w:hint="default" w:ascii="Verdana" w:hAnsi="Verdana" w:eastAsia="SimSun" w:cs="Verdana"/>
          <w:kern w:val="0"/>
          <w:sz w:val="22"/>
          <w:szCs w:val="22"/>
          <w:lang w:val="en-US" w:eastAsia="zh-CN" w:bidi="ar"/>
        </w:rPr>
        <w:br w:type="textWrapping"/>
      </w:r>
      <w:bookmarkStart w:id="0" w:name="_GoBack"/>
      <w:bookmarkEnd w:id="0"/>
      <w:r>
        <w:rPr>
          <w:rFonts w:hint="default" w:ascii="Verdana" w:hAnsi="Verdana" w:eastAsia="SimSun" w:cs="Verdana"/>
          <w:kern w:val="0"/>
          <w:sz w:val="22"/>
          <w:szCs w:val="22"/>
          <w:lang w:val="en-US" w:eastAsia="zh-CN" w:bidi="ar"/>
        </w:rPr>
        <w:br w:type="textWrapping"/>
      </w:r>
      <w:r>
        <w:rPr>
          <w:rFonts w:hint="default" w:ascii="Verdana" w:hAnsi="Verdana" w:eastAsia="SimSun" w:cs="Verdana"/>
          <w:kern w:val="0"/>
          <w:sz w:val="22"/>
          <w:szCs w:val="22"/>
          <w:lang w:val="en-US" w:eastAsia="zh-CN" w:bidi="ar"/>
        </w:rPr>
        <w:t>Con la firma de este convenio, el SUPARA reafirma su compromiso con la formación continua y la jerarquización de la labor aduanera, promoviendo vínculos institucionales que contribuyan al desarrollo profesional de los trabajadores y al fortalecimiento de una actividad estratégica para el país.</w:t>
      </w:r>
    </w:p>
    <w:p w14:paraId="4504803C">
      <w:pPr>
        <w:keepNext w:val="0"/>
        <w:keepLines w:val="0"/>
        <w:widowControl/>
        <w:suppressLineNumbers w:val="0"/>
        <w:spacing w:line="360" w:lineRule="auto"/>
        <w:jc w:val="both"/>
        <w:rPr>
          <w:rFonts w:ascii="SimSun" w:hAnsi="SimSun" w:eastAsia="SimSun" w:cs="SimSun"/>
          <w:kern w:val="0"/>
          <w:sz w:val="24"/>
          <w:szCs w:val="24"/>
          <w:lang w:val="en-US" w:eastAsia="zh-CN" w:bidi="ar"/>
        </w:rPr>
      </w:pPr>
    </w:p>
    <w:p w14:paraId="359462CB">
      <w:pPr>
        <w:keepNext w:val="0"/>
        <w:keepLines w:val="0"/>
        <w:widowControl/>
        <w:suppressLineNumbers w:val="0"/>
        <w:spacing w:line="360" w:lineRule="auto"/>
        <w:jc w:val="both"/>
      </w:pPr>
    </w:p>
    <w:p w14:paraId="4BDC2751">
      <w:pPr>
        <w:keepNext w:val="0"/>
        <w:keepLines w:val="0"/>
        <w:widowControl/>
        <w:suppressLineNumbers w:val="0"/>
        <w:spacing w:before="0" w:beforeAutospacing="0" w:after="160" w:afterAutospacing="0" w:line="360" w:lineRule="auto"/>
        <w:ind w:left="0" w:right="0"/>
        <w:jc w:val="both"/>
        <w:rPr>
          <w:rFonts w:ascii="sans-serif" w:hAnsi="sans-serif" w:eastAsia="sans-serif" w:cs="sans-serif"/>
          <w:sz w:val="22"/>
          <w:szCs w:val="22"/>
        </w:rPr>
      </w:pPr>
      <w:r>
        <w:rPr>
          <w:rFonts w:hint="default" w:ascii="Verdana" w:hAnsi="Verdana" w:eastAsia="sans-serif" w:cs="Verdana"/>
          <w:b/>
          <w:bCs/>
          <w:kern w:val="0"/>
          <w:sz w:val="22"/>
          <w:szCs w:val="22"/>
          <w:lang w:val="en-US" w:eastAsia="zh-CN" w:bidi="ar"/>
        </w:rPr>
        <w:t>Contacto de prensa:</w:t>
      </w:r>
    </w:p>
    <w:p w14:paraId="77E05BA8">
      <w:pPr>
        <w:keepNext w:val="0"/>
        <w:keepLines w:val="0"/>
        <w:widowControl/>
        <w:suppressLineNumbers w:val="0"/>
        <w:spacing w:before="0" w:beforeAutospacing="0" w:after="160" w:afterAutospacing="0" w:line="360" w:lineRule="auto"/>
        <w:ind w:left="0" w:right="0"/>
        <w:jc w:val="both"/>
        <w:rPr>
          <w:rFonts w:hint="default" w:ascii="sans-serif" w:hAnsi="sans-serif" w:eastAsia="sans-serif" w:cs="sans-serif"/>
          <w:sz w:val="22"/>
          <w:szCs w:val="22"/>
        </w:rPr>
      </w:pPr>
      <w:r>
        <w:rPr>
          <w:rFonts w:hint="default" w:ascii="Verdana" w:hAnsi="Verdana" w:eastAsia="sans-serif" w:cs="Verdana"/>
          <w:kern w:val="0"/>
          <w:sz w:val="22"/>
          <w:szCs w:val="22"/>
          <w:lang w:val="en-US" w:eastAsia="zh-CN" w:bidi="ar"/>
        </w:rPr>
        <w:t>Gabriel Padula – Cel. (011) 5708-0106</w:t>
      </w:r>
    </w:p>
    <w:p w14:paraId="5A745E76">
      <w:pPr>
        <w:keepNext w:val="0"/>
        <w:keepLines w:val="0"/>
        <w:widowControl/>
        <w:suppressLineNumbers w:val="0"/>
        <w:spacing w:before="0" w:beforeAutospacing="0" w:after="160" w:afterAutospacing="0" w:line="360" w:lineRule="auto"/>
        <w:ind w:left="0" w:right="0"/>
        <w:jc w:val="both"/>
        <w:rPr>
          <w:rFonts w:hint="default" w:ascii="sans-serif" w:hAnsi="sans-serif" w:eastAsia="sans-serif" w:cs="sans-serif"/>
          <w:sz w:val="22"/>
          <w:szCs w:val="22"/>
        </w:rPr>
      </w:pPr>
      <w:r>
        <w:rPr>
          <w:rFonts w:hint="default" w:ascii="Verdana" w:hAnsi="Verdana" w:eastAsia="sans-serif" w:cs="Verdana"/>
          <w:kern w:val="0"/>
          <w:sz w:val="22"/>
          <w:szCs w:val="22"/>
          <w:lang w:val="en-US" w:eastAsia="zh-CN" w:bidi="ar"/>
        </w:rPr>
        <w:t>Francisco Vera Golé – Cel. (011) 3174-3090</w:t>
      </w:r>
    </w:p>
    <w:p w14:paraId="3CEB7631">
      <w:pPr>
        <w:keepNext w:val="0"/>
        <w:keepLines w:val="0"/>
        <w:widowControl/>
        <w:suppressLineNumbers w:val="0"/>
        <w:spacing w:before="0" w:beforeAutospacing="0" w:after="160" w:afterAutospacing="0" w:line="360" w:lineRule="auto"/>
        <w:ind w:left="0" w:right="0"/>
        <w:jc w:val="both"/>
        <w:rPr>
          <w:rFonts w:hint="default" w:ascii="sans-serif" w:hAnsi="sans-serif" w:eastAsia="sans-serif" w:cs="sans-serif"/>
          <w:sz w:val="22"/>
          <w:szCs w:val="22"/>
        </w:rPr>
      </w:pPr>
      <w:r>
        <w:rPr>
          <w:rFonts w:hint="default" w:ascii="Verdana" w:hAnsi="Verdana" w:eastAsia="sans-serif" w:cs="Verdana"/>
          <w:kern w:val="0"/>
          <w:sz w:val="22"/>
          <w:szCs w:val="22"/>
          <w:lang w:val="en-US" w:eastAsia="zh-CN" w:bidi="ar"/>
        </w:rPr>
        <w:t>Lisandro Machado Zubeldia – Cel. (011) 3632-1200</w:t>
      </w:r>
    </w:p>
    <w:p w14:paraId="0000000E">
      <w:pPr>
        <w:jc w:val="both"/>
      </w:pPr>
    </w:p>
    <w:p w14:paraId="00000018"/>
    <w:sectPr>
      <w:pgSz w:w="11906" w:h="16838"/>
      <w:pgMar w:top="1417" w:right="1701" w:bottom="1417" w:left="1701"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C0B9D219-ECAE-4404-AF9C-85FCCFEF38CA}"/>
  </w:font>
  <w:font w:name="Arial">
    <w:panose1 w:val="020B0604020202020204"/>
    <w:charset w:val="00"/>
    <w:family w:val="swiss"/>
    <w:pitch w:val="default"/>
    <w:sig w:usb0="E0002EFF" w:usb1="C000785B" w:usb2="00000009" w:usb3="00000000" w:csb0="400001FF" w:csb1="FFFF0000"/>
    <w:embedRegular r:id="rId2" w:fontKey="{7A62FBEB-D9AB-400C-A910-CA4ADF1BE4DA}"/>
  </w:font>
  <w:font w:name="Courier New">
    <w:panose1 w:val="02070309020205020404"/>
    <w:charset w:val="00"/>
    <w:family w:val="modern"/>
    <w:pitch w:val="default"/>
    <w:sig w:usb0="E0002EFF" w:usb1="C0007843" w:usb2="00000009" w:usb3="00000000" w:csb0="400001FF" w:csb1="FFFF0000"/>
    <w:embedRegular r:id="rId3" w:fontKey="{D1AB1D21-EF31-478A-B87B-20A93CF20E8D}"/>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4" w:fontKey="{BD1D4777-B8C2-4099-9DA3-4B1E50B11546}"/>
  </w:font>
  <w:font w:name="Calibri">
    <w:panose1 w:val="020F0502020204030204"/>
    <w:charset w:val="00"/>
    <w:family w:val="swiss"/>
    <w:pitch w:val="default"/>
    <w:sig w:usb0="E4002EFF" w:usb1="C200247B" w:usb2="00000009" w:usb3="00000000" w:csb0="200001FF" w:csb1="00000000"/>
    <w:embedRegular r:id="rId5" w:fontKey="{E98D27B7-15F6-4803-B6A8-D065F43D1889}"/>
  </w:font>
  <w:font w:name="Aptos">
    <w:altName w:val="Segoe UI"/>
    <w:panose1 w:val="00000000000000000000"/>
    <w:charset w:val="86"/>
    <w:family w:val="auto"/>
    <w:pitch w:val="default"/>
    <w:sig w:usb0="00000000" w:usb1="00000000" w:usb2="00000000" w:usb3="00000000" w:csb0="00000000" w:csb1="00000000"/>
    <w:embedRegular r:id="rId6" w:fontKey="{EAC49343-4F8C-4BCB-963C-1B530D5BAFD3}"/>
  </w:font>
  <w:font w:name="Play">
    <w:altName w:val="Segoe Print"/>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embedRegular r:id="rId7" w:fontKey="{102C9E1C-B7B3-45CB-9183-8ECD78915D4C}"/>
  </w:font>
  <w:font w:name="Segoe UI">
    <w:panose1 w:val="020B0502040204020203"/>
    <w:charset w:val="00"/>
    <w:family w:val="auto"/>
    <w:pitch w:val="default"/>
    <w:sig w:usb0="E4002EFF" w:usb1="C000E47F" w:usb2="00000009" w:usb3="00000000" w:csb0="200001FF" w:csb1="00000000"/>
    <w:embedRegular r:id="rId8" w:fontKey="{1C05FE49-73E0-46CB-8FEB-2870912E9B60}"/>
  </w:font>
  <w:font w:name="Segoe Print">
    <w:panose1 w:val="02000600000000000000"/>
    <w:charset w:val="00"/>
    <w:family w:val="auto"/>
    <w:pitch w:val="default"/>
    <w:sig w:usb0="0000028F" w:usb1="00000000" w:usb2="00000000" w:usb3="00000000" w:csb0="2000009F" w:csb1="47010000"/>
    <w:embedRegular r:id="rId9" w:fontKey="{53399D93-CC8A-407B-A407-CA2D27D51147}"/>
  </w:font>
  <w:font w:name="Segoe UI Variable Display">
    <w:panose1 w:val="00000000000000000000"/>
    <w:charset w:val="00"/>
    <w:family w:val="auto"/>
    <w:pitch w:val="default"/>
    <w:sig w:usb0="A00002FF" w:usb1="0000000B" w:usb2="00000000" w:usb3="00000000" w:csb0="2000019F" w:csb1="00000000"/>
    <w:embedRegular r:id="rId10" w:fontKey="{0A8666BB-9151-428E-9D1A-22FA63BF3E90}"/>
  </w:font>
  <w:font w:name="sans-serif">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12B02035"/>
    <w:rsid w:val="35C36441"/>
    <w:rsid w:val="4F52422F"/>
    <w:rsid w:val="749374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78" w:lineRule="auto"/>
    </w:pPr>
    <w:rPr>
      <w:rFonts w:ascii="Aptos" w:hAnsi="Aptos" w:eastAsia="Aptos" w:cs="Aptos"/>
      <w:sz w:val="24"/>
      <w:szCs w:val="24"/>
      <w:lang w:val="es-AR"/>
    </w:rPr>
  </w:style>
  <w:style w:type="paragraph" w:styleId="2">
    <w:name w:val="heading 1"/>
    <w:basedOn w:val="1"/>
    <w:next w:val="1"/>
    <w:qFormat/>
    <w:uiPriority w:val="0"/>
    <w:pPr>
      <w:keepNext/>
      <w:keepLines/>
      <w:spacing w:before="360" w:after="80"/>
    </w:pPr>
    <w:rPr>
      <w:rFonts w:ascii="Play" w:hAnsi="Play" w:eastAsia="Play" w:cs="Play"/>
      <w:color w:val="0F4761"/>
      <w:sz w:val="40"/>
      <w:szCs w:val="40"/>
    </w:rPr>
  </w:style>
  <w:style w:type="paragraph" w:styleId="3">
    <w:name w:val="heading 2"/>
    <w:basedOn w:val="1"/>
    <w:next w:val="1"/>
    <w:qFormat/>
    <w:uiPriority w:val="0"/>
    <w:pPr>
      <w:keepNext/>
      <w:keepLines/>
      <w:spacing w:before="160" w:after="80"/>
    </w:pPr>
    <w:rPr>
      <w:rFonts w:ascii="Play" w:hAnsi="Play" w:eastAsia="Play" w:cs="Play"/>
      <w:color w:val="0F4761"/>
      <w:sz w:val="32"/>
      <w:szCs w:val="32"/>
    </w:rPr>
  </w:style>
  <w:style w:type="paragraph" w:styleId="4">
    <w:name w:val="heading 3"/>
    <w:basedOn w:val="1"/>
    <w:next w:val="1"/>
    <w:qFormat/>
    <w:uiPriority w:val="0"/>
    <w:pPr>
      <w:keepNext/>
      <w:keepLines/>
      <w:spacing w:before="160" w:after="80"/>
    </w:pPr>
    <w:rPr>
      <w:color w:val="0F4761"/>
      <w:sz w:val="28"/>
      <w:szCs w:val="28"/>
    </w:rPr>
  </w:style>
  <w:style w:type="paragraph" w:styleId="5">
    <w:name w:val="heading 4"/>
    <w:basedOn w:val="1"/>
    <w:next w:val="1"/>
    <w:qFormat/>
    <w:uiPriority w:val="0"/>
    <w:pPr>
      <w:keepNext/>
      <w:keepLines/>
      <w:spacing w:before="80" w:after="40"/>
    </w:pPr>
    <w:rPr>
      <w:i/>
      <w:iCs/>
      <w:color w:val="0F4761"/>
    </w:rPr>
  </w:style>
  <w:style w:type="paragraph" w:styleId="6">
    <w:name w:val="heading 5"/>
    <w:basedOn w:val="1"/>
    <w:next w:val="1"/>
    <w:qFormat/>
    <w:uiPriority w:val="0"/>
    <w:pPr>
      <w:keepNext/>
      <w:keepLines/>
      <w:spacing w:before="80" w:after="40"/>
    </w:pPr>
    <w:rPr>
      <w:color w:val="0F4761"/>
    </w:rPr>
  </w:style>
  <w:style w:type="paragraph" w:styleId="7">
    <w:name w:val="heading 6"/>
    <w:basedOn w:val="1"/>
    <w:next w:val="1"/>
    <w:qFormat/>
    <w:uiPriority w:val="0"/>
    <w:pPr>
      <w:keepNext/>
      <w:keepLines/>
      <w:spacing w:before="40" w:after="0"/>
    </w:pPr>
    <w:rPr>
      <w:i/>
      <w:iCs/>
      <w:color w:val="595959"/>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table of figures"/>
    <w:basedOn w:val="1"/>
    <w:next w:val="1"/>
    <w:qFormat/>
    <w:uiPriority w:val="0"/>
  </w:style>
  <w:style w:type="paragraph" w:styleId="14">
    <w:name w:val="Subtitle"/>
    <w:basedOn w:val="1"/>
    <w:next w:val="1"/>
    <w:qFormat/>
    <w:uiPriority w:val="0"/>
    <w:rPr>
      <w:color w:val="595959"/>
      <w:sz w:val="28"/>
      <w:szCs w:val="28"/>
    </w:rPr>
  </w:style>
  <w:style w:type="paragraph" w:styleId="15">
    <w:name w:val="Title"/>
    <w:basedOn w:val="1"/>
    <w:next w:val="1"/>
    <w:qFormat/>
    <w:uiPriority w:val="0"/>
    <w:pPr>
      <w:spacing w:after="80" w:line="240" w:lineRule="auto"/>
    </w:pPr>
    <w:rPr>
      <w:rFonts w:ascii="Play" w:hAnsi="Play" w:eastAsia="Play" w:cs="Play"/>
      <w:sz w:val="56"/>
      <w:szCs w:val="56"/>
    </w:rPr>
  </w:style>
  <w:style w:type="table" w:customStyle="1" w:styleId="16">
    <w:name w:val="TableNormal"/>
    <w:qFormat/>
    <w:uiPriority w:val="0"/>
    <w:tblPr>
      <w:tblCellMar>
        <w:top w:w="100" w:type="dxa"/>
        <w:left w:w="100" w:type="dxa"/>
        <w:bottom w:w="100" w:type="dxa"/>
        <w:right w:w="100" w:type="dxa"/>
      </w:tblCellMar>
    </w:tblPr>
  </w:style>
  <w:style w:type="character" w:customStyle="1" w:styleId="17">
    <w:name w:val="Título 1 Car"/>
    <w:basedOn w:val="11"/>
    <w:qFormat/>
    <w:uiPriority w:val="9"/>
    <w:rPr>
      <w:rFonts w:asciiTheme="majorHAnsi" w:hAnsiTheme="majorHAnsi" w:eastAsiaTheme="majorEastAsia" w:cstheme="majorBidi"/>
      <w:color w:val="104862" w:themeColor="accent1" w:themeShade="BF"/>
      <w:sz w:val="40"/>
      <w:szCs w:val="40"/>
    </w:rPr>
  </w:style>
  <w:style w:type="character" w:customStyle="1" w:styleId="18">
    <w:name w:val="Título 2 Car"/>
    <w:basedOn w:val="11"/>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Título 3 Car"/>
    <w:basedOn w:val="11"/>
    <w:semiHidden/>
    <w:qFormat/>
    <w:uiPriority w:val="9"/>
    <w:rPr>
      <w:rFonts w:eastAsiaTheme="majorEastAsia" w:cstheme="majorBidi"/>
      <w:color w:val="104862" w:themeColor="accent1" w:themeShade="BF"/>
      <w:sz w:val="28"/>
      <w:szCs w:val="28"/>
    </w:rPr>
  </w:style>
  <w:style w:type="character" w:customStyle="1" w:styleId="20">
    <w:name w:val="Título 4 Car"/>
    <w:basedOn w:val="11"/>
    <w:semiHidden/>
    <w:qFormat/>
    <w:uiPriority w:val="9"/>
    <w:rPr>
      <w:rFonts w:eastAsiaTheme="majorEastAsia" w:cstheme="majorBidi"/>
      <w:i/>
      <w:iCs/>
      <w:color w:val="104862" w:themeColor="accent1" w:themeShade="BF"/>
    </w:rPr>
  </w:style>
  <w:style w:type="character" w:customStyle="1" w:styleId="21">
    <w:name w:val="Título 5 Car"/>
    <w:basedOn w:val="11"/>
    <w:semiHidden/>
    <w:qFormat/>
    <w:uiPriority w:val="9"/>
    <w:rPr>
      <w:rFonts w:eastAsiaTheme="majorEastAsia" w:cstheme="majorBidi"/>
      <w:color w:val="104862" w:themeColor="accent1" w:themeShade="BF"/>
    </w:rPr>
  </w:style>
  <w:style w:type="character" w:customStyle="1" w:styleId="22">
    <w:name w:val="Título 6 Car"/>
    <w:basedOn w:val="11"/>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Título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ítulo Car"/>
    <w:basedOn w:val="11"/>
    <w:qFormat/>
    <w:uiPriority w:val="10"/>
    <w:rPr>
      <w:rFonts w:asciiTheme="majorHAnsi" w:hAnsiTheme="majorHAnsi" w:eastAsiaTheme="majorEastAsia" w:cstheme="majorBidi"/>
      <w:spacing w:val="-10"/>
      <w:kern w:val="28"/>
      <w:sz w:val="56"/>
      <w:szCs w:val="56"/>
    </w:rPr>
  </w:style>
  <w:style w:type="character" w:customStyle="1" w:styleId="27">
    <w:name w:val="Subtítulo Car"/>
    <w:basedOn w:val="1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Cita C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Cita destacada Car"/>
    <w:basedOn w:val="11"/>
    <w:link w:val="32"/>
    <w:qFormat/>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6M520VR/yzpbilcdP7UsF+tyZQ==">CgMxLjA4AHIhMTRyenZicWY0elF0bWJHdEFJT3o5WDlhOExrNmpHa3hq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2</Pages>
  <Words>327</Words>
  <Characters>2002</Characters>
  <TotalTime>172</TotalTime>
  <ScaleCrop>false</ScaleCrop>
  <LinksUpToDate>false</LinksUpToDate>
  <CharactersWithSpaces>2318</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2026-11-05T18:22:00Z</dcterms:created>
  <dc:creator>Lisandro Machado</dc:creator>
  <cp:lastModifiedBy>Gabriel Padula</cp:lastModifiedBy>
  <dcterms:modified xsi:type="dcterms:W3CDTF">2026-11-06T23:26:44Z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eyJoZGlkIjoiYTI5ZDRjZmM5NmYzNWNlOTgwYjQyN2RlZGQ4NzRlMTgiLCJ1c2VySWQiOiIxNTM5MzE2MzYyNzQyOCJ9</vt:lpwstr>
  </property>
  <property fmtid="{D5CDD505-2E9C-101B-9397-08002B2CF9AE}" pid="3" name="KSOProductBuildVer">
    <vt:lpwstr>2058-12.1.0.29162</vt:lpwstr>
  </property>
  <property fmtid="{D5CDD505-2E9C-101B-9397-08002B2CF9AE}" pid="4" name="ICV">
    <vt:lpwstr>B5BC1A1888934C4B8F08BDADC5DC552E_13</vt:lpwstr>
  </property>
</Properties>
</file>