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C38B1F" w14:textId="77777777" w:rsidR="0078713A" w:rsidRDefault="0078713A" w:rsidP="0078713A">
      <w:pPr>
        <w:jc w:val="center"/>
        <w:outlineLvl w:val="0"/>
        <w:rPr>
          <w:rFonts w:ascii="Times New Roman" w:eastAsia="Times New Roman" w:hAnsi="Times New Roman" w:cs="Times New Roman"/>
          <w:b/>
          <w:bCs/>
          <w:kern w:val="36"/>
          <w:sz w:val="28"/>
          <w:szCs w:val="28"/>
          <w:lang w:val="es-MX" w:eastAsia="es-MX"/>
          <w14:ligatures w14:val="none"/>
        </w:rPr>
      </w:pPr>
      <w:r w:rsidRPr="0078713A">
        <w:rPr>
          <w:rFonts w:ascii="Times New Roman" w:eastAsia="Times New Roman" w:hAnsi="Times New Roman" w:cs="Times New Roman"/>
          <w:b/>
          <w:bCs/>
          <w:kern w:val="36"/>
          <w:sz w:val="28"/>
          <w:szCs w:val="28"/>
          <w:lang w:val="es-MX" w:eastAsia="es-MX"/>
          <w14:ligatures w14:val="none"/>
        </w:rPr>
        <w:t>Tasa de Estadística bajo presión: importadores analizan reclamar pagos mientras el caso llega a la Corte Suprema</w:t>
      </w:r>
    </w:p>
    <w:p w14:paraId="01F0854D" w14:textId="77777777" w:rsidR="0078713A" w:rsidRPr="0078713A" w:rsidRDefault="0078713A" w:rsidP="0078713A">
      <w:pPr>
        <w:jc w:val="center"/>
        <w:outlineLvl w:val="0"/>
        <w:rPr>
          <w:rFonts w:ascii="Times New Roman" w:eastAsia="Times New Roman" w:hAnsi="Times New Roman" w:cs="Times New Roman"/>
          <w:b/>
          <w:bCs/>
          <w:kern w:val="36"/>
          <w:sz w:val="28"/>
          <w:szCs w:val="28"/>
          <w:lang w:val="es-MX" w:eastAsia="es-MX"/>
          <w14:ligatures w14:val="none"/>
        </w:rPr>
      </w:pPr>
    </w:p>
    <w:p w14:paraId="7CBCF375" w14:textId="079F5395" w:rsidR="0078713A" w:rsidRDefault="0078713A" w:rsidP="0078713A">
      <w:pPr>
        <w:jc w:val="both"/>
        <w:rPr>
          <w:rFonts w:ascii="Times New Roman" w:eastAsia="Times New Roman" w:hAnsi="Times New Roman" w:cs="Times New Roman"/>
          <w:b/>
          <w:bCs/>
          <w:kern w:val="0"/>
          <w:lang w:val="es-MX" w:eastAsia="es-MX"/>
          <w14:ligatures w14:val="none"/>
        </w:rPr>
      </w:pPr>
      <w:r w:rsidRPr="0078713A">
        <w:rPr>
          <w:rFonts w:ascii="Times New Roman" w:eastAsia="Times New Roman" w:hAnsi="Times New Roman" w:cs="Times New Roman"/>
          <w:b/>
          <w:bCs/>
          <w:kern w:val="0"/>
          <w:lang w:val="es-MX" w:eastAsia="es-MX"/>
          <w14:ligatures w14:val="none"/>
        </w:rPr>
        <w:t>Los fallos que cuestionan la constitucionalidad del gravamen abrieron una ventana para que empresas revisen lo pagado durante los últimos años</w:t>
      </w:r>
      <w:r>
        <w:rPr>
          <w:rFonts w:ascii="Times New Roman" w:eastAsia="Times New Roman" w:hAnsi="Times New Roman" w:cs="Times New Roman"/>
          <w:b/>
          <w:bCs/>
          <w:kern w:val="0"/>
          <w:lang w:val="es-MX" w:eastAsia="es-MX"/>
          <w14:ligatures w14:val="none"/>
        </w:rPr>
        <w:t>, de acuerdo con expertos de Baker McKenzie Argentina</w:t>
      </w:r>
      <w:r w:rsidRPr="0078713A">
        <w:rPr>
          <w:rFonts w:ascii="Times New Roman" w:eastAsia="Times New Roman" w:hAnsi="Times New Roman" w:cs="Times New Roman"/>
          <w:b/>
          <w:bCs/>
          <w:kern w:val="0"/>
          <w:lang w:val="es-MX" w:eastAsia="es-MX"/>
          <w14:ligatures w14:val="none"/>
        </w:rPr>
        <w:t>. El plazo de prescripción de cinco años agrega presión a la decisión, mientras la Corte Suprema podría terminar definiendo el futuro de la tasa.</w:t>
      </w:r>
    </w:p>
    <w:p w14:paraId="5CA7FE9C" w14:textId="77777777" w:rsidR="0078713A" w:rsidRPr="0078713A" w:rsidRDefault="0078713A" w:rsidP="0078713A">
      <w:pPr>
        <w:jc w:val="both"/>
        <w:rPr>
          <w:rFonts w:ascii="Times New Roman" w:eastAsia="Times New Roman" w:hAnsi="Times New Roman" w:cs="Times New Roman"/>
          <w:kern w:val="0"/>
          <w:lang w:val="es-MX" w:eastAsia="es-MX"/>
          <w14:ligatures w14:val="none"/>
        </w:rPr>
      </w:pPr>
    </w:p>
    <w:p w14:paraId="77D4CF7A" w14:textId="77777777" w:rsidR="0078713A" w:rsidRPr="0078713A" w:rsidRDefault="0078713A" w:rsidP="0078713A">
      <w:pPr>
        <w:jc w:val="both"/>
        <w:rPr>
          <w:rFonts w:ascii="Times New Roman" w:eastAsia="Times New Roman" w:hAnsi="Times New Roman" w:cs="Times New Roman"/>
          <w:kern w:val="0"/>
          <w:lang w:val="es-MX" w:eastAsia="es-MX"/>
          <w14:ligatures w14:val="none"/>
        </w:rPr>
      </w:pPr>
      <w:r w:rsidRPr="0078713A">
        <w:rPr>
          <w:rFonts w:ascii="Times New Roman" w:eastAsia="Times New Roman" w:hAnsi="Times New Roman" w:cs="Times New Roman"/>
          <w:kern w:val="0"/>
          <w:lang w:val="es-MX" w:eastAsia="es-MX"/>
          <w14:ligatures w14:val="none"/>
        </w:rPr>
        <w:t>Las empresas argentinas con actividad importadora tienen un nuevo frente para revisar en sus números. Los crecientes cuestionamientos judiciales sobre la Tasa de Estadística abrieron la posibilidad de analizar reclamos para recuperar parte de los montos abonados durante los últimos años, en una controversia que ahora quedó en condiciones de llegar a la Corte Suprema de Justicia de la Nación.</w:t>
      </w:r>
    </w:p>
    <w:p w14:paraId="1C687AB5" w14:textId="77777777" w:rsidR="0078713A" w:rsidRDefault="0078713A" w:rsidP="0078713A">
      <w:pPr>
        <w:jc w:val="both"/>
        <w:rPr>
          <w:rFonts w:ascii="Times New Roman" w:eastAsia="Times New Roman" w:hAnsi="Times New Roman" w:cs="Times New Roman"/>
          <w:kern w:val="0"/>
          <w:lang w:val="es-MX" w:eastAsia="es-MX"/>
          <w14:ligatures w14:val="none"/>
        </w:rPr>
      </w:pPr>
    </w:p>
    <w:p w14:paraId="3A2884D0" w14:textId="66EFE671" w:rsidR="0078713A" w:rsidRPr="0078713A" w:rsidRDefault="0078713A" w:rsidP="0078713A">
      <w:pPr>
        <w:jc w:val="both"/>
        <w:rPr>
          <w:rFonts w:ascii="Times New Roman" w:eastAsia="Times New Roman" w:hAnsi="Times New Roman" w:cs="Times New Roman"/>
          <w:kern w:val="0"/>
          <w:lang w:val="es-MX" w:eastAsia="es-MX"/>
          <w14:ligatures w14:val="none"/>
        </w:rPr>
      </w:pPr>
      <w:r w:rsidRPr="0078713A">
        <w:rPr>
          <w:rFonts w:ascii="Times New Roman" w:eastAsia="Times New Roman" w:hAnsi="Times New Roman" w:cs="Times New Roman"/>
          <w:kern w:val="0"/>
          <w:lang w:val="es-MX" w:eastAsia="es-MX"/>
          <w14:ligatures w14:val="none"/>
        </w:rPr>
        <w:t xml:space="preserve">El tema adquirió mayor relevancia a partir del caso </w:t>
      </w:r>
      <w:r w:rsidRPr="0078713A">
        <w:rPr>
          <w:rFonts w:ascii="Times New Roman" w:eastAsia="Times New Roman" w:hAnsi="Times New Roman" w:cs="Times New Roman"/>
          <w:i/>
          <w:iCs/>
          <w:kern w:val="0"/>
          <w:lang w:val="es-MX" w:eastAsia="es-MX"/>
          <w14:ligatures w14:val="none"/>
        </w:rPr>
        <w:t>Colgate-Palmolive Argentina S.A. c/ Dirección General de Aduanas (DGA)</w:t>
      </w:r>
      <w:r w:rsidRPr="0078713A">
        <w:rPr>
          <w:rFonts w:ascii="Times New Roman" w:eastAsia="Times New Roman" w:hAnsi="Times New Roman" w:cs="Times New Roman"/>
          <w:kern w:val="0"/>
          <w:lang w:val="es-MX" w:eastAsia="es-MX"/>
          <w14:ligatures w14:val="none"/>
        </w:rPr>
        <w:t>, en el que la Cámara Federal de Mendoza declaró la inconstitucionalidad de los artículos 1 y 2 del Decreto 332/2019, que había elevado la alícuota de la Tasa de Estadística del 0,5% al 2,5%.</w:t>
      </w:r>
    </w:p>
    <w:p w14:paraId="5B7CD1A0" w14:textId="77777777" w:rsidR="0078713A" w:rsidRDefault="0078713A" w:rsidP="0078713A">
      <w:pPr>
        <w:jc w:val="both"/>
        <w:rPr>
          <w:rFonts w:ascii="Times New Roman" w:eastAsia="Times New Roman" w:hAnsi="Times New Roman" w:cs="Times New Roman"/>
          <w:kern w:val="0"/>
          <w:lang w:val="es-MX" w:eastAsia="es-MX"/>
          <w14:ligatures w14:val="none"/>
        </w:rPr>
      </w:pPr>
    </w:p>
    <w:p w14:paraId="3F7C0564" w14:textId="6F383CAE" w:rsidR="0078713A" w:rsidRPr="0078713A" w:rsidRDefault="0078713A" w:rsidP="0078713A">
      <w:pPr>
        <w:jc w:val="both"/>
        <w:rPr>
          <w:rFonts w:ascii="Times New Roman" w:eastAsia="Times New Roman" w:hAnsi="Times New Roman" w:cs="Times New Roman"/>
          <w:kern w:val="0"/>
          <w:lang w:val="es-MX" w:eastAsia="es-MX"/>
          <w14:ligatures w14:val="none"/>
        </w:rPr>
      </w:pPr>
      <w:r w:rsidRPr="0078713A">
        <w:rPr>
          <w:rFonts w:ascii="Times New Roman" w:eastAsia="Times New Roman" w:hAnsi="Times New Roman" w:cs="Times New Roman"/>
          <w:kern w:val="0"/>
          <w:lang w:val="es-MX" w:eastAsia="es-MX"/>
          <w14:ligatures w14:val="none"/>
        </w:rPr>
        <w:t>El conflicto sumó un nuevo capítulo el 2 de julio de 2026, cuando la Sala B de esa Cámara declaró admisible el recurso extraordinario federal presentado por el Estado Nacional. La causa fue elevada a la Corte Suprema, que tendrá la posibilidad de pronunciarse sobre una discusión con impacto potencial para numerosas compañías que participan del comercio exterior.</w:t>
      </w:r>
    </w:p>
    <w:p w14:paraId="5B4DFD16" w14:textId="77777777" w:rsidR="0078713A" w:rsidRDefault="0078713A" w:rsidP="0078713A">
      <w:pPr>
        <w:jc w:val="both"/>
        <w:rPr>
          <w:rFonts w:ascii="Times New Roman" w:eastAsia="Times New Roman" w:hAnsi="Times New Roman" w:cs="Times New Roman"/>
          <w:kern w:val="0"/>
          <w:lang w:val="es-MX" w:eastAsia="es-MX"/>
          <w14:ligatures w14:val="none"/>
        </w:rPr>
      </w:pPr>
    </w:p>
    <w:p w14:paraId="13E7A167" w14:textId="5E82CF0D" w:rsidR="0078713A" w:rsidRPr="0078713A" w:rsidRDefault="0078713A" w:rsidP="0078713A">
      <w:pPr>
        <w:jc w:val="both"/>
        <w:rPr>
          <w:rFonts w:ascii="Times New Roman" w:eastAsia="Times New Roman" w:hAnsi="Times New Roman" w:cs="Times New Roman"/>
          <w:kern w:val="0"/>
          <w:lang w:val="es-MX" w:eastAsia="es-MX"/>
          <w14:ligatures w14:val="none"/>
        </w:rPr>
      </w:pPr>
      <w:r w:rsidRPr="0078713A">
        <w:rPr>
          <w:rFonts w:ascii="Times New Roman" w:eastAsia="Times New Roman" w:hAnsi="Times New Roman" w:cs="Times New Roman"/>
          <w:kern w:val="0"/>
          <w:lang w:val="es-MX" w:eastAsia="es-MX"/>
          <w14:ligatures w14:val="none"/>
        </w:rPr>
        <w:t>La cuestión excede al decreto cuestionado en ese expediente. La Tasa de Estadística actualmente tiene una alícuota del 3% y grava, con determinadas excepciones, las destinaciones definitivas de importación para consumo. El Decreto 1140/2024 prorrogó su vigencia hasta el 31 de diciembre de 2027.</w:t>
      </w:r>
    </w:p>
    <w:p w14:paraId="611BDE8B" w14:textId="77777777" w:rsidR="0078713A" w:rsidRDefault="0078713A" w:rsidP="0078713A">
      <w:pPr>
        <w:jc w:val="both"/>
        <w:rPr>
          <w:rFonts w:ascii="Times New Roman" w:eastAsia="Times New Roman" w:hAnsi="Times New Roman" w:cs="Times New Roman"/>
          <w:kern w:val="0"/>
          <w:lang w:val="es-MX" w:eastAsia="es-MX"/>
          <w14:ligatures w14:val="none"/>
        </w:rPr>
      </w:pPr>
    </w:p>
    <w:p w14:paraId="6208B30D" w14:textId="053562BA" w:rsidR="0078713A" w:rsidRDefault="0078713A" w:rsidP="0078713A">
      <w:pPr>
        <w:jc w:val="both"/>
        <w:rPr>
          <w:rFonts w:ascii="Times New Roman" w:eastAsia="Times New Roman" w:hAnsi="Times New Roman" w:cs="Times New Roman"/>
          <w:kern w:val="0"/>
          <w:lang w:val="es-MX" w:eastAsia="es-MX"/>
          <w14:ligatures w14:val="none"/>
        </w:rPr>
      </w:pPr>
      <w:r w:rsidRPr="0078713A">
        <w:rPr>
          <w:rFonts w:ascii="Times New Roman" w:eastAsia="Times New Roman" w:hAnsi="Times New Roman" w:cs="Times New Roman"/>
          <w:kern w:val="0"/>
          <w:lang w:val="es-MX" w:eastAsia="es-MX"/>
          <w14:ligatures w14:val="none"/>
        </w:rPr>
        <w:t xml:space="preserve">Para </w:t>
      </w:r>
      <w:r w:rsidRPr="0078713A">
        <w:rPr>
          <w:rFonts w:ascii="Times New Roman" w:eastAsia="Times New Roman" w:hAnsi="Times New Roman" w:cs="Times New Roman"/>
          <w:b/>
          <w:bCs/>
          <w:kern w:val="0"/>
          <w:lang w:val="es-MX" w:eastAsia="es-MX"/>
          <w14:ligatures w14:val="none"/>
        </w:rPr>
        <w:t>Esteban Rópolo, socio de Baker McKenzie Argentina</w:t>
      </w:r>
      <w:r w:rsidRPr="0078713A">
        <w:rPr>
          <w:rFonts w:ascii="Times New Roman" w:eastAsia="Times New Roman" w:hAnsi="Times New Roman" w:cs="Times New Roman"/>
          <w:kern w:val="0"/>
          <w:lang w:val="es-MX" w:eastAsia="es-MX"/>
          <w14:ligatures w14:val="none"/>
        </w:rPr>
        <w:t>, uno de los puntos centrales de la discusión está precisamente en el instrumento jurídico utilizado para mantener vigente la alícuota.“La tasa de estadística que tenemos vigente hoy vence en diciembre del 2027. Pero su vigencia está fundamentada en un decreto, lo que constituye su talón de Aquiles desde el punto de vista constitucional”, explicó.</w:t>
      </w:r>
    </w:p>
    <w:p w14:paraId="1AF0AD68" w14:textId="77777777" w:rsidR="0078713A" w:rsidRPr="0078713A" w:rsidRDefault="0078713A" w:rsidP="0078713A">
      <w:pPr>
        <w:jc w:val="both"/>
        <w:rPr>
          <w:rFonts w:ascii="Times New Roman" w:eastAsia="Times New Roman" w:hAnsi="Times New Roman" w:cs="Times New Roman"/>
          <w:kern w:val="0"/>
          <w:lang w:val="es-MX" w:eastAsia="es-MX"/>
          <w14:ligatures w14:val="none"/>
        </w:rPr>
      </w:pPr>
    </w:p>
    <w:p w14:paraId="02C9F7D5" w14:textId="77777777" w:rsidR="0078713A" w:rsidRPr="0078713A" w:rsidRDefault="0078713A" w:rsidP="0078713A">
      <w:pPr>
        <w:jc w:val="both"/>
        <w:rPr>
          <w:rFonts w:ascii="Times New Roman" w:eastAsia="Times New Roman" w:hAnsi="Times New Roman" w:cs="Times New Roman"/>
          <w:kern w:val="0"/>
          <w:lang w:val="es-MX" w:eastAsia="es-MX"/>
          <w14:ligatures w14:val="none"/>
        </w:rPr>
      </w:pPr>
      <w:r w:rsidRPr="0078713A">
        <w:rPr>
          <w:rFonts w:ascii="Times New Roman" w:eastAsia="Times New Roman" w:hAnsi="Times New Roman" w:cs="Times New Roman"/>
          <w:kern w:val="0"/>
          <w:lang w:val="es-MX" w:eastAsia="es-MX"/>
          <w14:ligatures w14:val="none"/>
        </w:rPr>
        <w:t>Hasta fines de 2021, la alícuota del 3% había sido establecida por ley. La Ley 27.591 fijó ese porcentaje hasta el 31 de diciembre de ese año. A partir de 2022, el Decreto 901/2021 mantuvo el 3% hasta fines de 2024 y, posteriormente, el Decreto 1140/2024 volvió a prorrogarlo por otros tres años.</w:t>
      </w:r>
    </w:p>
    <w:p w14:paraId="143129A1" w14:textId="77777777" w:rsidR="0078713A" w:rsidRDefault="0078713A" w:rsidP="0078713A">
      <w:pPr>
        <w:jc w:val="both"/>
        <w:rPr>
          <w:rFonts w:ascii="Times New Roman" w:eastAsia="Times New Roman" w:hAnsi="Times New Roman" w:cs="Times New Roman"/>
          <w:kern w:val="0"/>
          <w:lang w:val="es-MX" w:eastAsia="es-MX"/>
          <w14:ligatures w14:val="none"/>
        </w:rPr>
      </w:pPr>
    </w:p>
    <w:p w14:paraId="19354E65" w14:textId="1E39384A" w:rsidR="0078713A" w:rsidRPr="0078713A" w:rsidRDefault="0078713A" w:rsidP="0078713A">
      <w:pPr>
        <w:jc w:val="both"/>
        <w:rPr>
          <w:rFonts w:ascii="Times New Roman" w:eastAsia="Times New Roman" w:hAnsi="Times New Roman" w:cs="Times New Roman"/>
          <w:kern w:val="0"/>
          <w:lang w:val="es-MX" w:eastAsia="es-MX"/>
          <w14:ligatures w14:val="none"/>
        </w:rPr>
      </w:pPr>
      <w:r w:rsidRPr="0078713A">
        <w:rPr>
          <w:rFonts w:ascii="Times New Roman" w:eastAsia="Times New Roman" w:hAnsi="Times New Roman" w:cs="Times New Roman"/>
          <w:kern w:val="0"/>
          <w:lang w:val="es-MX" w:eastAsia="es-MX"/>
          <w14:ligatures w14:val="none"/>
        </w:rPr>
        <w:t>Es allí donde aparece uno de los argumentos centrales de las compañías que cuestionan el gravamen: el principio constitucional de reserva de ley en materia tributaria.</w:t>
      </w:r>
    </w:p>
    <w:p w14:paraId="2E189281" w14:textId="77777777" w:rsidR="0078713A" w:rsidRDefault="0078713A" w:rsidP="0078713A">
      <w:pPr>
        <w:jc w:val="both"/>
        <w:rPr>
          <w:rFonts w:ascii="Times New Roman" w:eastAsia="Times New Roman" w:hAnsi="Times New Roman" w:cs="Times New Roman"/>
          <w:b/>
          <w:bCs/>
          <w:kern w:val="0"/>
          <w:lang w:val="es-MX" w:eastAsia="es-MX"/>
          <w14:ligatures w14:val="none"/>
        </w:rPr>
      </w:pPr>
    </w:p>
    <w:p w14:paraId="2D0D2C05" w14:textId="3D16C88D" w:rsidR="0078713A" w:rsidRPr="0078713A" w:rsidRDefault="0078713A" w:rsidP="0078713A">
      <w:pPr>
        <w:jc w:val="both"/>
        <w:rPr>
          <w:rFonts w:ascii="Times New Roman" w:eastAsia="Times New Roman" w:hAnsi="Times New Roman" w:cs="Times New Roman"/>
          <w:kern w:val="0"/>
          <w:lang w:val="es-MX" w:eastAsia="es-MX"/>
          <w14:ligatures w14:val="none"/>
        </w:rPr>
      </w:pPr>
      <w:r w:rsidRPr="0078713A">
        <w:rPr>
          <w:rFonts w:ascii="Times New Roman" w:eastAsia="Times New Roman" w:hAnsi="Times New Roman" w:cs="Times New Roman"/>
          <w:b/>
          <w:bCs/>
          <w:kern w:val="0"/>
          <w:lang w:val="es-MX" w:eastAsia="es-MX"/>
          <w14:ligatures w14:val="none"/>
        </w:rPr>
        <w:lastRenderedPageBreak/>
        <w:t>Victoria Acevedo Freixas, asociada de Baker McKenzie Argentina</w:t>
      </w:r>
      <w:r w:rsidRPr="0078713A">
        <w:rPr>
          <w:rFonts w:ascii="Times New Roman" w:eastAsia="Times New Roman" w:hAnsi="Times New Roman" w:cs="Times New Roman"/>
          <w:kern w:val="0"/>
          <w:lang w:val="es-MX" w:eastAsia="es-MX"/>
          <w14:ligatures w14:val="none"/>
        </w:rPr>
        <w:t>, explicó que “la principal implicancia es que al tener la tasa una naturaleza tributaria, la misma debe ser dispuesta por ley, lo que no ocurre desde el año 2022 a la fecha”.</w:t>
      </w:r>
    </w:p>
    <w:p w14:paraId="7DB5FA99" w14:textId="77777777" w:rsidR="0078713A" w:rsidRDefault="0078713A" w:rsidP="0078713A">
      <w:pPr>
        <w:jc w:val="both"/>
        <w:outlineLvl w:val="1"/>
        <w:rPr>
          <w:rFonts w:ascii="Times New Roman" w:eastAsia="Times New Roman" w:hAnsi="Times New Roman" w:cs="Times New Roman"/>
          <w:b/>
          <w:bCs/>
          <w:kern w:val="0"/>
          <w:sz w:val="36"/>
          <w:szCs w:val="36"/>
          <w:lang w:val="es-MX" w:eastAsia="es-MX"/>
          <w14:ligatures w14:val="none"/>
        </w:rPr>
      </w:pPr>
    </w:p>
    <w:p w14:paraId="6D5E968D" w14:textId="7FB92B10" w:rsidR="0078713A" w:rsidRDefault="0078713A" w:rsidP="0078713A">
      <w:pPr>
        <w:jc w:val="both"/>
        <w:outlineLvl w:val="1"/>
        <w:rPr>
          <w:rFonts w:ascii="Times New Roman" w:eastAsia="Times New Roman" w:hAnsi="Times New Roman" w:cs="Times New Roman"/>
          <w:b/>
          <w:bCs/>
          <w:kern w:val="0"/>
          <w:lang w:val="es-MX" w:eastAsia="es-MX"/>
          <w14:ligatures w14:val="none"/>
        </w:rPr>
      </w:pPr>
      <w:r w:rsidRPr="0078713A">
        <w:rPr>
          <w:rFonts w:ascii="Times New Roman" w:eastAsia="Times New Roman" w:hAnsi="Times New Roman" w:cs="Times New Roman"/>
          <w:b/>
          <w:bCs/>
          <w:kern w:val="0"/>
          <w:lang w:val="es-MX" w:eastAsia="es-MX"/>
          <w14:ligatures w14:val="none"/>
        </w:rPr>
        <w:t>Cuánto podrían reclamar las empresas</w:t>
      </w:r>
    </w:p>
    <w:p w14:paraId="5D32F249" w14:textId="77777777" w:rsidR="0078713A" w:rsidRPr="0078713A" w:rsidRDefault="0078713A" w:rsidP="0078713A">
      <w:pPr>
        <w:jc w:val="both"/>
        <w:outlineLvl w:val="1"/>
        <w:rPr>
          <w:rFonts w:ascii="Times New Roman" w:eastAsia="Times New Roman" w:hAnsi="Times New Roman" w:cs="Times New Roman"/>
          <w:b/>
          <w:bCs/>
          <w:kern w:val="0"/>
          <w:lang w:val="es-MX" w:eastAsia="es-MX"/>
          <w14:ligatures w14:val="none"/>
        </w:rPr>
      </w:pPr>
    </w:p>
    <w:p w14:paraId="60C29E26" w14:textId="77777777" w:rsidR="0078713A" w:rsidRPr="0078713A" w:rsidRDefault="0078713A" w:rsidP="0078713A">
      <w:pPr>
        <w:jc w:val="both"/>
        <w:rPr>
          <w:rFonts w:ascii="Times New Roman" w:eastAsia="Times New Roman" w:hAnsi="Times New Roman" w:cs="Times New Roman"/>
          <w:kern w:val="0"/>
          <w:lang w:val="es-MX" w:eastAsia="es-MX"/>
          <w14:ligatures w14:val="none"/>
        </w:rPr>
      </w:pPr>
      <w:r w:rsidRPr="0078713A">
        <w:rPr>
          <w:rFonts w:ascii="Times New Roman" w:eastAsia="Times New Roman" w:hAnsi="Times New Roman" w:cs="Times New Roman"/>
          <w:kern w:val="0"/>
          <w:lang w:val="es-MX" w:eastAsia="es-MX"/>
          <w14:ligatures w14:val="none"/>
        </w:rPr>
        <w:t>Más allá de la discusión constitucional, el avance de estos casos comenzó a trasladar el debate desde los tribunales hacia las áreas financieras, impositivas y de comercio exterior de las compañías.</w:t>
      </w:r>
    </w:p>
    <w:p w14:paraId="55647C90" w14:textId="77777777" w:rsidR="0078713A" w:rsidRDefault="0078713A" w:rsidP="0078713A">
      <w:pPr>
        <w:jc w:val="both"/>
        <w:rPr>
          <w:rFonts w:ascii="Times New Roman" w:eastAsia="Times New Roman" w:hAnsi="Times New Roman" w:cs="Times New Roman"/>
          <w:kern w:val="0"/>
          <w:lang w:val="es-MX" w:eastAsia="es-MX"/>
          <w14:ligatures w14:val="none"/>
        </w:rPr>
      </w:pPr>
    </w:p>
    <w:p w14:paraId="253A0C78" w14:textId="0685C85E" w:rsidR="0078713A" w:rsidRPr="0078713A" w:rsidRDefault="0078713A" w:rsidP="0078713A">
      <w:pPr>
        <w:jc w:val="both"/>
        <w:rPr>
          <w:rFonts w:ascii="Times New Roman" w:eastAsia="Times New Roman" w:hAnsi="Times New Roman" w:cs="Times New Roman"/>
          <w:kern w:val="0"/>
          <w:lang w:val="es-MX" w:eastAsia="es-MX"/>
          <w14:ligatures w14:val="none"/>
        </w:rPr>
      </w:pPr>
      <w:r w:rsidRPr="0078713A">
        <w:rPr>
          <w:rFonts w:ascii="Times New Roman" w:eastAsia="Times New Roman" w:hAnsi="Times New Roman" w:cs="Times New Roman"/>
          <w:kern w:val="0"/>
          <w:lang w:val="es-MX" w:eastAsia="es-MX"/>
          <w14:ligatures w14:val="none"/>
        </w:rPr>
        <w:t>El interrogante es concreto: determinar cuánto pagó cada importador en concepto de Tasa de Estadística durante los períodos todavía no prescriptos y evaluar qué parte podría eventualmente ser objeto de una acción de repetición.</w:t>
      </w:r>
    </w:p>
    <w:p w14:paraId="541D4789" w14:textId="77777777" w:rsidR="0078713A" w:rsidRDefault="0078713A" w:rsidP="0078713A">
      <w:pPr>
        <w:jc w:val="both"/>
        <w:rPr>
          <w:rFonts w:ascii="Times New Roman" w:eastAsia="Times New Roman" w:hAnsi="Times New Roman" w:cs="Times New Roman"/>
          <w:kern w:val="0"/>
          <w:lang w:val="es-MX" w:eastAsia="es-MX"/>
          <w14:ligatures w14:val="none"/>
        </w:rPr>
      </w:pPr>
    </w:p>
    <w:p w14:paraId="3EFD2A51" w14:textId="0B0B85EB" w:rsidR="0078713A" w:rsidRPr="0078713A" w:rsidRDefault="0078713A" w:rsidP="0078713A">
      <w:pPr>
        <w:jc w:val="both"/>
        <w:rPr>
          <w:rFonts w:ascii="Times New Roman" w:eastAsia="Times New Roman" w:hAnsi="Times New Roman" w:cs="Times New Roman"/>
          <w:kern w:val="0"/>
          <w:lang w:val="es-MX" w:eastAsia="es-MX"/>
          <w14:ligatures w14:val="none"/>
        </w:rPr>
      </w:pPr>
      <w:r w:rsidRPr="0078713A">
        <w:rPr>
          <w:rFonts w:ascii="Times New Roman" w:eastAsia="Times New Roman" w:hAnsi="Times New Roman" w:cs="Times New Roman"/>
          <w:kern w:val="0"/>
          <w:lang w:val="es-MX" w:eastAsia="es-MX"/>
          <w14:ligatures w14:val="none"/>
        </w:rPr>
        <w:t>Según Rópolo, las compañías pueden analizar reclamos por los montos abonados en exceso, tomando como referencia la diferencia respecto del régimen que contemplaba una alícuota del 0,5% y un tope de US$500 antes de la modificación introducida en 2019.</w:t>
      </w:r>
    </w:p>
    <w:p w14:paraId="0CC74633" w14:textId="77777777" w:rsidR="0078713A" w:rsidRDefault="0078713A" w:rsidP="0078713A">
      <w:pPr>
        <w:jc w:val="both"/>
        <w:rPr>
          <w:rFonts w:ascii="Times New Roman" w:eastAsia="Times New Roman" w:hAnsi="Times New Roman" w:cs="Times New Roman"/>
          <w:kern w:val="0"/>
          <w:lang w:val="es-MX" w:eastAsia="es-MX"/>
          <w14:ligatures w14:val="none"/>
        </w:rPr>
      </w:pPr>
    </w:p>
    <w:p w14:paraId="114D2D49" w14:textId="024E3155" w:rsidR="0078713A" w:rsidRPr="0078713A" w:rsidRDefault="0078713A" w:rsidP="0078713A">
      <w:pPr>
        <w:jc w:val="both"/>
        <w:rPr>
          <w:rFonts w:ascii="Times New Roman" w:eastAsia="Times New Roman" w:hAnsi="Times New Roman" w:cs="Times New Roman"/>
          <w:kern w:val="0"/>
          <w:lang w:val="es-MX" w:eastAsia="es-MX"/>
          <w14:ligatures w14:val="none"/>
        </w:rPr>
      </w:pPr>
      <w:r w:rsidRPr="0078713A">
        <w:rPr>
          <w:rFonts w:ascii="Times New Roman" w:eastAsia="Times New Roman" w:hAnsi="Times New Roman" w:cs="Times New Roman"/>
          <w:kern w:val="0"/>
          <w:lang w:val="es-MX" w:eastAsia="es-MX"/>
          <w14:ligatures w14:val="none"/>
        </w:rPr>
        <w:t>La posibilidad no alcanza automáticamente a cualquier operación de comercio exterior. El régimen vigente contempla excepciones, entre ellas determinadas importaciones realizadas bajo acuerdos preferenciales y las operaciones que incluyen mercadería originaria de los países del Mercosur. Por eso, cada empresa debe revisar sus despachos, los montos efectivamente pagados, el origen de las mercaderías y las normas aplicables a cada operación.</w:t>
      </w:r>
    </w:p>
    <w:p w14:paraId="58CF0469" w14:textId="77777777" w:rsidR="0078713A" w:rsidRPr="0078713A" w:rsidRDefault="0078713A" w:rsidP="0078713A">
      <w:pPr>
        <w:jc w:val="both"/>
        <w:rPr>
          <w:rFonts w:ascii="Times New Roman" w:eastAsia="Times New Roman" w:hAnsi="Times New Roman" w:cs="Times New Roman"/>
          <w:kern w:val="0"/>
          <w:lang w:val="es-MX" w:eastAsia="es-MX"/>
          <w14:ligatures w14:val="none"/>
        </w:rPr>
      </w:pPr>
      <w:r w:rsidRPr="0078713A">
        <w:rPr>
          <w:rFonts w:ascii="Times New Roman" w:eastAsia="Times New Roman" w:hAnsi="Times New Roman" w:cs="Times New Roman"/>
          <w:kern w:val="0"/>
          <w:lang w:val="es-MX" w:eastAsia="es-MX"/>
          <w14:ligatures w14:val="none"/>
        </w:rPr>
        <w:t>En compañías con importantes volúmenes de importación, esa revisión puede adquirir una dimensión financiera considerable, especialmente cuando se acumulan operaciones realizadas durante varios ejercicios.</w:t>
      </w:r>
    </w:p>
    <w:p w14:paraId="58E9CE6A" w14:textId="77777777" w:rsidR="0078713A" w:rsidRDefault="0078713A" w:rsidP="0078713A">
      <w:pPr>
        <w:jc w:val="both"/>
        <w:outlineLvl w:val="1"/>
        <w:rPr>
          <w:rFonts w:ascii="Times New Roman" w:eastAsia="Times New Roman" w:hAnsi="Times New Roman" w:cs="Times New Roman"/>
          <w:b/>
          <w:bCs/>
          <w:kern w:val="0"/>
          <w:sz w:val="36"/>
          <w:szCs w:val="36"/>
          <w:lang w:val="es-MX" w:eastAsia="es-MX"/>
          <w14:ligatures w14:val="none"/>
        </w:rPr>
      </w:pPr>
    </w:p>
    <w:p w14:paraId="18E92782" w14:textId="53DCCE79" w:rsidR="0078713A" w:rsidRPr="0078713A" w:rsidRDefault="0078713A" w:rsidP="0078713A">
      <w:pPr>
        <w:jc w:val="both"/>
        <w:outlineLvl w:val="1"/>
        <w:rPr>
          <w:rFonts w:ascii="Times New Roman" w:eastAsia="Times New Roman" w:hAnsi="Times New Roman" w:cs="Times New Roman"/>
          <w:b/>
          <w:bCs/>
          <w:kern w:val="0"/>
          <w:lang w:val="es-MX" w:eastAsia="es-MX"/>
          <w14:ligatures w14:val="none"/>
        </w:rPr>
      </w:pPr>
      <w:r w:rsidRPr="0078713A">
        <w:rPr>
          <w:rFonts w:ascii="Times New Roman" w:eastAsia="Times New Roman" w:hAnsi="Times New Roman" w:cs="Times New Roman"/>
          <w:b/>
          <w:bCs/>
          <w:kern w:val="0"/>
          <w:lang w:val="es-MX" w:eastAsia="es-MX"/>
          <w14:ligatures w14:val="none"/>
        </w:rPr>
        <w:t>El reloj de la prescripción</w:t>
      </w:r>
    </w:p>
    <w:p w14:paraId="585763C7" w14:textId="77777777" w:rsidR="0078713A" w:rsidRDefault="0078713A" w:rsidP="0078713A">
      <w:pPr>
        <w:jc w:val="both"/>
        <w:rPr>
          <w:rFonts w:ascii="Times New Roman" w:eastAsia="Times New Roman" w:hAnsi="Times New Roman" w:cs="Times New Roman"/>
          <w:kern w:val="0"/>
          <w:lang w:val="es-MX" w:eastAsia="es-MX"/>
          <w14:ligatures w14:val="none"/>
        </w:rPr>
      </w:pPr>
    </w:p>
    <w:p w14:paraId="439D6744" w14:textId="1CA09A97" w:rsidR="0078713A" w:rsidRPr="0078713A" w:rsidRDefault="0078713A" w:rsidP="0078713A">
      <w:pPr>
        <w:jc w:val="both"/>
        <w:rPr>
          <w:rFonts w:ascii="Times New Roman" w:eastAsia="Times New Roman" w:hAnsi="Times New Roman" w:cs="Times New Roman"/>
          <w:kern w:val="0"/>
          <w:lang w:val="es-MX" w:eastAsia="es-MX"/>
          <w14:ligatures w14:val="none"/>
        </w:rPr>
      </w:pPr>
      <w:r w:rsidRPr="0078713A">
        <w:rPr>
          <w:rFonts w:ascii="Times New Roman" w:eastAsia="Times New Roman" w:hAnsi="Times New Roman" w:cs="Times New Roman"/>
          <w:kern w:val="0"/>
          <w:lang w:val="es-MX" w:eastAsia="es-MX"/>
          <w14:ligatures w14:val="none"/>
        </w:rPr>
        <w:t>Hay, además, otro factor que empieza a ganar peso: el tiempo.</w:t>
      </w:r>
    </w:p>
    <w:p w14:paraId="0DCB15A5" w14:textId="77777777" w:rsidR="0078713A" w:rsidRDefault="0078713A" w:rsidP="0078713A">
      <w:pPr>
        <w:jc w:val="both"/>
        <w:rPr>
          <w:rFonts w:ascii="Times New Roman" w:eastAsia="Times New Roman" w:hAnsi="Times New Roman" w:cs="Times New Roman"/>
          <w:kern w:val="0"/>
          <w:lang w:val="es-MX" w:eastAsia="es-MX"/>
          <w14:ligatures w14:val="none"/>
        </w:rPr>
      </w:pPr>
    </w:p>
    <w:p w14:paraId="088F68A8" w14:textId="2B9BA9BA" w:rsidR="0078713A" w:rsidRPr="0078713A" w:rsidRDefault="0078713A" w:rsidP="0078713A">
      <w:pPr>
        <w:jc w:val="both"/>
        <w:rPr>
          <w:rFonts w:ascii="Times New Roman" w:eastAsia="Times New Roman" w:hAnsi="Times New Roman" w:cs="Times New Roman"/>
          <w:kern w:val="0"/>
          <w:lang w:val="es-MX" w:eastAsia="es-MX"/>
          <w14:ligatures w14:val="none"/>
        </w:rPr>
      </w:pPr>
      <w:r w:rsidRPr="0078713A">
        <w:rPr>
          <w:rFonts w:ascii="Times New Roman" w:eastAsia="Times New Roman" w:hAnsi="Times New Roman" w:cs="Times New Roman"/>
          <w:kern w:val="0"/>
          <w:lang w:val="es-MX" w:eastAsia="es-MX"/>
          <w14:ligatures w14:val="none"/>
        </w:rPr>
        <w:t xml:space="preserve">El Código Aduanero establece un plazo de </w:t>
      </w:r>
      <w:r w:rsidRPr="0078713A">
        <w:rPr>
          <w:rFonts w:ascii="Times New Roman" w:eastAsia="Times New Roman" w:hAnsi="Times New Roman" w:cs="Times New Roman"/>
          <w:b/>
          <w:bCs/>
          <w:kern w:val="0"/>
          <w:lang w:val="es-MX" w:eastAsia="es-MX"/>
          <w14:ligatures w14:val="none"/>
        </w:rPr>
        <w:t>cinco años</w:t>
      </w:r>
      <w:r w:rsidRPr="0078713A">
        <w:rPr>
          <w:rFonts w:ascii="Times New Roman" w:eastAsia="Times New Roman" w:hAnsi="Times New Roman" w:cs="Times New Roman"/>
          <w:kern w:val="0"/>
          <w:lang w:val="es-MX" w:eastAsia="es-MX"/>
          <w14:ligatures w14:val="none"/>
        </w:rPr>
        <w:t xml:space="preserve"> para que los administrados reclamen la repetición de importes pagados indebidamente en concepto de tributos aduaneros. Ese plazo comienza a computarse el 1° de enero del año siguiente a aquel en el que se realizó el pago.</w:t>
      </w:r>
    </w:p>
    <w:p w14:paraId="76EB8D1B" w14:textId="77777777" w:rsidR="0078713A" w:rsidRDefault="0078713A" w:rsidP="0078713A">
      <w:pPr>
        <w:jc w:val="both"/>
        <w:rPr>
          <w:rFonts w:ascii="Times New Roman" w:eastAsia="Times New Roman" w:hAnsi="Times New Roman" w:cs="Times New Roman"/>
          <w:kern w:val="0"/>
          <w:lang w:val="es-MX" w:eastAsia="es-MX"/>
          <w14:ligatures w14:val="none"/>
        </w:rPr>
      </w:pPr>
    </w:p>
    <w:p w14:paraId="00AEBD6B" w14:textId="430A22F3" w:rsidR="0078713A" w:rsidRPr="0078713A" w:rsidRDefault="0078713A" w:rsidP="0078713A">
      <w:pPr>
        <w:jc w:val="both"/>
        <w:rPr>
          <w:rFonts w:ascii="Times New Roman" w:eastAsia="Times New Roman" w:hAnsi="Times New Roman" w:cs="Times New Roman"/>
          <w:kern w:val="0"/>
          <w:lang w:val="es-MX" w:eastAsia="es-MX"/>
          <w14:ligatures w14:val="none"/>
        </w:rPr>
      </w:pPr>
      <w:r w:rsidRPr="0078713A">
        <w:rPr>
          <w:rFonts w:ascii="Times New Roman" w:eastAsia="Times New Roman" w:hAnsi="Times New Roman" w:cs="Times New Roman"/>
          <w:kern w:val="0"/>
          <w:lang w:val="es-MX" w:eastAsia="es-MX"/>
          <w14:ligatures w14:val="none"/>
        </w:rPr>
        <w:t>Esto significa que la decisión de analizar un eventual reclamo no es indefinida: a medida que transcurre el tiempo, los períodos más antiguos pueden quedar alcanzados por la prescripción.</w:t>
      </w:r>
    </w:p>
    <w:p w14:paraId="6E81F352" w14:textId="77777777" w:rsidR="0078713A" w:rsidRDefault="0078713A" w:rsidP="0078713A">
      <w:pPr>
        <w:jc w:val="both"/>
        <w:rPr>
          <w:rFonts w:ascii="Times New Roman" w:eastAsia="Times New Roman" w:hAnsi="Times New Roman" w:cs="Times New Roman"/>
          <w:kern w:val="0"/>
          <w:lang w:val="es-MX" w:eastAsia="es-MX"/>
          <w14:ligatures w14:val="none"/>
        </w:rPr>
      </w:pPr>
    </w:p>
    <w:p w14:paraId="4AA550D1" w14:textId="459133ED" w:rsidR="0078713A" w:rsidRPr="0078713A" w:rsidRDefault="0078713A" w:rsidP="0078713A">
      <w:pPr>
        <w:jc w:val="both"/>
        <w:rPr>
          <w:rFonts w:ascii="Times New Roman" w:eastAsia="Times New Roman" w:hAnsi="Times New Roman" w:cs="Times New Roman"/>
          <w:kern w:val="0"/>
          <w:lang w:val="es-MX" w:eastAsia="es-MX"/>
          <w14:ligatures w14:val="none"/>
        </w:rPr>
      </w:pPr>
      <w:r w:rsidRPr="0078713A">
        <w:rPr>
          <w:rFonts w:ascii="Times New Roman" w:eastAsia="Times New Roman" w:hAnsi="Times New Roman" w:cs="Times New Roman"/>
          <w:kern w:val="0"/>
          <w:lang w:val="es-MX" w:eastAsia="es-MX"/>
          <w14:ligatures w14:val="none"/>
        </w:rPr>
        <w:t>“Los derechos no se reservan, se ejercen, con lo cual si se quiere recuperar lo pagado en exceso deberán iniciar las acciones correspondientes”, sostuvo Rópolo.</w:t>
      </w:r>
    </w:p>
    <w:p w14:paraId="33B5E852" w14:textId="77777777" w:rsidR="0078713A" w:rsidRDefault="0078713A" w:rsidP="0078713A">
      <w:pPr>
        <w:jc w:val="both"/>
        <w:rPr>
          <w:rFonts w:ascii="Times New Roman" w:eastAsia="Times New Roman" w:hAnsi="Times New Roman" w:cs="Times New Roman"/>
          <w:kern w:val="0"/>
          <w:lang w:val="es-MX" w:eastAsia="es-MX"/>
          <w14:ligatures w14:val="none"/>
        </w:rPr>
      </w:pPr>
    </w:p>
    <w:p w14:paraId="431A3C71" w14:textId="0A608408" w:rsidR="0078713A" w:rsidRPr="0078713A" w:rsidRDefault="0078713A" w:rsidP="0078713A">
      <w:pPr>
        <w:jc w:val="both"/>
        <w:rPr>
          <w:rFonts w:ascii="Times New Roman" w:eastAsia="Times New Roman" w:hAnsi="Times New Roman" w:cs="Times New Roman"/>
          <w:kern w:val="0"/>
          <w:lang w:val="es-MX" w:eastAsia="es-MX"/>
          <w14:ligatures w14:val="none"/>
        </w:rPr>
      </w:pPr>
      <w:r w:rsidRPr="0078713A">
        <w:rPr>
          <w:rFonts w:ascii="Times New Roman" w:eastAsia="Times New Roman" w:hAnsi="Times New Roman" w:cs="Times New Roman"/>
          <w:kern w:val="0"/>
          <w:lang w:val="es-MX" w:eastAsia="es-MX"/>
          <w14:ligatures w14:val="none"/>
        </w:rPr>
        <w:t xml:space="preserve">El escenario, sin embargo, continúa abierto. Los pronunciamientos judiciales favorables a los importadores fortalecieron los cuestionamientos contra la Tasa de Estadística, pero no </w:t>
      </w:r>
      <w:r w:rsidRPr="0078713A">
        <w:rPr>
          <w:rFonts w:ascii="Times New Roman" w:eastAsia="Times New Roman" w:hAnsi="Times New Roman" w:cs="Times New Roman"/>
          <w:kern w:val="0"/>
          <w:lang w:val="es-MX" w:eastAsia="es-MX"/>
          <w14:ligatures w14:val="none"/>
        </w:rPr>
        <w:lastRenderedPageBreak/>
        <w:t>implican que exista un recupero automático para todas las empresas ni que la controversia esté definitivamente resuelta.</w:t>
      </w:r>
    </w:p>
    <w:p w14:paraId="2A1E4D7C" w14:textId="77777777" w:rsidR="0078713A" w:rsidRDefault="0078713A" w:rsidP="0078713A">
      <w:pPr>
        <w:jc w:val="both"/>
        <w:rPr>
          <w:rFonts w:ascii="Times New Roman" w:eastAsia="Times New Roman" w:hAnsi="Times New Roman" w:cs="Times New Roman"/>
          <w:kern w:val="0"/>
          <w:lang w:val="es-MX" w:eastAsia="es-MX"/>
          <w14:ligatures w14:val="none"/>
        </w:rPr>
      </w:pPr>
    </w:p>
    <w:p w14:paraId="608D8A2C" w14:textId="649E5B38" w:rsidR="0078713A" w:rsidRPr="0078713A" w:rsidRDefault="0078713A" w:rsidP="0078713A">
      <w:pPr>
        <w:jc w:val="both"/>
        <w:rPr>
          <w:rFonts w:ascii="Times New Roman" w:eastAsia="Times New Roman" w:hAnsi="Times New Roman" w:cs="Times New Roman"/>
          <w:kern w:val="0"/>
          <w:lang w:val="es-MX" w:eastAsia="es-MX"/>
          <w14:ligatures w14:val="none"/>
        </w:rPr>
      </w:pPr>
      <w:r w:rsidRPr="0078713A">
        <w:rPr>
          <w:rFonts w:ascii="Times New Roman" w:eastAsia="Times New Roman" w:hAnsi="Times New Roman" w:cs="Times New Roman"/>
          <w:kern w:val="0"/>
          <w:lang w:val="es-MX" w:eastAsia="es-MX"/>
          <w14:ligatures w14:val="none"/>
        </w:rPr>
        <w:t xml:space="preserve">Ahora, con el expediente </w:t>
      </w:r>
      <w:r w:rsidRPr="0078713A">
        <w:rPr>
          <w:rFonts w:ascii="Times New Roman" w:eastAsia="Times New Roman" w:hAnsi="Times New Roman" w:cs="Times New Roman"/>
          <w:i/>
          <w:iCs/>
          <w:kern w:val="0"/>
          <w:lang w:val="es-MX" w:eastAsia="es-MX"/>
          <w14:ligatures w14:val="none"/>
        </w:rPr>
        <w:t>Colgate-Palmolive</w:t>
      </w:r>
      <w:r w:rsidRPr="0078713A">
        <w:rPr>
          <w:rFonts w:ascii="Times New Roman" w:eastAsia="Times New Roman" w:hAnsi="Times New Roman" w:cs="Times New Roman"/>
          <w:kern w:val="0"/>
          <w:lang w:val="es-MX" w:eastAsia="es-MX"/>
          <w14:ligatures w14:val="none"/>
        </w:rPr>
        <w:t xml:space="preserve"> elevado a la Corte Suprema, el máximo tribunal podría tener la oportunidad de fijar un criterio de mayor alcance. Mientras eso sucede, para las empresas importadoras la discusión dejó de ser exclusivamente jurídica: también se convirtió en una decisión financiera sobre cuánto pagaron, cuánto podrían reclamar y cuánto tiempo tienen para hacerlo.</w:t>
      </w:r>
    </w:p>
    <w:p w14:paraId="710779DA" w14:textId="738B05A3" w:rsidR="00FF24BC" w:rsidRDefault="00FF24BC" w:rsidP="0078713A">
      <w:pPr>
        <w:jc w:val="both"/>
        <w:rPr>
          <w:rFonts w:ascii="Times New Roman" w:eastAsia="Times New Roman" w:hAnsi="Times New Roman" w:cs="Times New Roman"/>
          <w:kern w:val="0"/>
          <w:lang w:val="es-MX" w:eastAsia="es-MX"/>
          <w14:ligatures w14:val="none"/>
        </w:rPr>
      </w:pPr>
    </w:p>
    <w:p w14:paraId="01B26206" w14:textId="77777777" w:rsidR="00BB1927" w:rsidRDefault="00BB1927" w:rsidP="0078713A">
      <w:pPr>
        <w:jc w:val="both"/>
        <w:rPr>
          <w:rFonts w:ascii="Times New Roman" w:eastAsia="Times New Roman" w:hAnsi="Times New Roman" w:cs="Times New Roman"/>
          <w:kern w:val="0"/>
          <w:lang w:val="es-MX" w:eastAsia="es-MX"/>
          <w14:ligatures w14:val="none"/>
        </w:rPr>
      </w:pPr>
    </w:p>
    <w:p w14:paraId="1ECADBA2" w14:textId="6987B61C" w:rsidR="00BB1927" w:rsidRDefault="00BB1927" w:rsidP="0078713A">
      <w:pPr>
        <w:jc w:val="both"/>
        <w:rPr>
          <w:rFonts w:ascii="Times New Roman" w:eastAsia="Times New Roman" w:hAnsi="Times New Roman" w:cs="Times New Roman"/>
          <w:kern w:val="0"/>
          <w:lang w:val="es-MX" w:eastAsia="es-MX"/>
          <w14:ligatures w14:val="none"/>
        </w:rPr>
      </w:pPr>
      <w:r>
        <w:rPr>
          <w:rFonts w:ascii="Times New Roman" w:eastAsia="Times New Roman" w:hAnsi="Times New Roman" w:cs="Times New Roman"/>
          <w:kern w:val="0"/>
          <w:lang w:val="es-MX" w:eastAsia="es-MX"/>
          <w14:ligatures w14:val="none"/>
        </w:rPr>
        <w:t>Fuente: Baker McKenzie Argentina</w:t>
      </w:r>
    </w:p>
    <w:p w14:paraId="4F9EFF00" w14:textId="77777777" w:rsidR="00BB1927" w:rsidRDefault="00BB1927" w:rsidP="0078713A">
      <w:pPr>
        <w:jc w:val="both"/>
        <w:rPr>
          <w:rFonts w:ascii="Times New Roman" w:eastAsia="Times New Roman" w:hAnsi="Times New Roman" w:cs="Times New Roman"/>
          <w:kern w:val="0"/>
          <w:lang w:val="es-MX" w:eastAsia="es-MX"/>
          <w14:ligatures w14:val="none"/>
        </w:rPr>
      </w:pPr>
    </w:p>
    <w:p w14:paraId="014631D4" w14:textId="0A611FD5" w:rsidR="00BB1927" w:rsidRDefault="00BB1927" w:rsidP="0078713A">
      <w:pPr>
        <w:jc w:val="both"/>
        <w:rPr>
          <w:rFonts w:ascii="Times New Roman" w:eastAsia="Times New Roman" w:hAnsi="Times New Roman" w:cs="Times New Roman"/>
          <w:kern w:val="0"/>
          <w:lang w:val="es-MX" w:eastAsia="es-MX"/>
          <w14:ligatures w14:val="none"/>
        </w:rPr>
      </w:pPr>
      <w:r>
        <w:rPr>
          <w:rFonts w:ascii="Times New Roman" w:eastAsia="Times New Roman" w:hAnsi="Times New Roman" w:cs="Times New Roman"/>
          <w:kern w:val="0"/>
          <w:lang w:val="es-MX" w:eastAsia="es-MX"/>
          <w14:ligatures w14:val="none"/>
        </w:rPr>
        <w:t xml:space="preserve">Datos de Contacto: Christian Vargas, +52-5510033356, </w:t>
      </w:r>
      <w:hyperlink r:id="rId4" w:history="1">
        <w:r w:rsidRPr="00E62639">
          <w:rPr>
            <w:rStyle w:val="Hipervnculo"/>
            <w:rFonts w:ascii="Times New Roman" w:eastAsia="Times New Roman" w:hAnsi="Times New Roman" w:cs="Times New Roman"/>
            <w:kern w:val="0"/>
            <w:lang w:val="es-MX" w:eastAsia="es-MX"/>
            <w14:ligatures w14:val="none"/>
          </w:rPr>
          <w:t>cduran@consultoresrp.com</w:t>
        </w:r>
      </w:hyperlink>
      <w:r>
        <w:rPr>
          <w:rFonts w:ascii="Times New Roman" w:eastAsia="Times New Roman" w:hAnsi="Times New Roman" w:cs="Times New Roman"/>
          <w:kern w:val="0"/>
          <w:lang w:val="es-MX" w:eastAsia="es-MX"/>
          <w14:ligatures w14:val="none"/>
        </w:rPr>
        <w:t>, Agencia de comunicación de Baker McKenzie Latam</w:t>
      </w:r>
    </w:p>
    <w:p w14:paraId="17D115BF" w14:textId="77777777" w:rsidR="00BB1927" w:rsidRDefault="00BB1927" w:rsidP="0078713A">
      <w:pPr>
        <w:jc w:val="both"/>
        <w:rPr>
          <w:rFonts w:ascii="Times New Roman" w:eastAsia="Times New Roman" w:hAnsi="Times New Roman" w:cs="Times New Roman"/>
          <w:kern w:val="0"/>
          <w:lang w:val="es-MX" w:eastAsia="es-MX"/>
          <w14:ligatures w14:val="none"/>
        </w:rPr>
      </w:pPr>
    </w:p>
    <w:p w14:paraId="55801D09" w14:textId="4B0EEFB7" w:rsidR="00BB1927" w:rsidRPr="0078713A" w:rsidRDefault="00BB1927" w:rsidP="00BB1927">
      <w:pPr>
        <w:jc w:val="both"/>
        <w:rPr>
          <w:rFonts w:ascii="Times New Roman" w:eastAsia="Times New Roman" w:hAnsi="Times New Roman" w:cs="Times New Roman"/>
          <w:kern w:val="0"/>
          <w:lang w:val="es-MX" w:eastAsia="es-MX"/>
          <w14:ligatures w14:val="none"/>
        </w:rPr>
      </w:pPr>
    </w:p>
    <w:sectPr w:rsidR="00BB1927" w:rsidRPr="0078713A" w:rsidSect="0082216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13A"/>
    <w:rsid w:val="00121FF4"/>
    <w:rsid w:val="00486316"/>
    <w:rsid w:val="00735334"/>
    <w:rsid w:val="0078713A"/>
    <w:rsid w:val="0082216D"/>
    <w:rsid w:val="00894402"/>
    <w:rsid w:val="008B065A"/>
    <w:rsid w:val="00A47294"/>
    <w:rsid w:val="00AA61A4"/>
    <w:rsid w:val="00BB1927"/>
    <w:rsid w:val="00FB4143"/>
    <w:rsid w:val="00FF24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6429A67C"/>
  <w15:chartTrackingRefBased/>
  <w15:docId w15:val="{31F4E187-E80E-084C-9492-CE96424C2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7871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7871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8713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8713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8713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8713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8713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8713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8713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8713A"/>
    <w:rPr>
      <w:rFonts w:asciiTheme="majorHAnsi" w:eastAsiaTheme="majorEastAsia" w:hAnsiTheme="majorHAnsi" w:cstheme="majorBidi"/>
      <w:color w:val="0F4761" w:themeColor="accent1" w:themeShade="BF"/>
      <w:sz w:val="40"/>
      <w:szCs w:val="40"/>
      <w:lang w:val="es-ES_tradnl"/>
    </w:rPr>
  </w:style>
  <w:style w:type="character" w:customStyle="1" w:styleId="Ttulo2Car">
    <w:name w:val="Título 2 Car"/>
    <w:basedOn w:val="Fuentedeprrafopredeter"/>
    <w:link w:val="Ttulo2"/>
    <w:uiPriority w:val="9"/>
    <w:rsid w:val="0078713A"/>
    <w:rPr>
      <w:rFonts w:asciiTheme="majorHAnsi" w:eastAsiaTheme="majorEastAsia" w:hAnsiTheme="majorHAnsi" w:cstheme="majorBidi"/>
      <w:color w:val="0F4761" w:themeColor="accent1" w:themeShade="BF"/>
      <w:sz w:val="32"/>
      <w:szCs w:val="32"/>
      <w:lang w:val="es-ES_tradnl"/>
    </w:rPr>
  </w:style>
  <w:style w:type="character" w:customStyle="1" w:styleId="Ttulo3Car">
    <w:name w:val="Título 3 Car"/>
    <w:basedOn w:val="Fuentedeprrafopredeter"/>
    <w:link w:val="Ttulo3"/>
    <w:uiPriority w:val="9"/>
    <w:semiHidden/>
    <w:rsid w:val="0078713A"/>
    <w:rPr>
      <w:rFonts w:eastAsiaTheme="majorEastAsia" w:cstheme="majorBidi"/>
      <w:color w:val="0F4761" w:themeColor="accent1" w:themeShade="BF"/>
      <w:sz w:val="28"/>
      <w:szCs w:val="28"/>
      <w:lang w:val="es-ES_tradnl"/>
    </w:rPr>
  </w:style>
  <w:style w:type="character" w:customStyle="1" w:styleId="Ttulo4Car">
    <w:name w:val="Título 4 Car"/>
    <w:basedOn w:val="Fuentedeprrafopredeter"/>
    <w:link w:val="Ttulo4"/>
    <w:uiPriority w:val="9"/>
    <w:semiHidden/>
    <w:rsid w:val="0078713A"/>
    <w:rPr>
      <w:rFonts w:eastAsiaTheme="majorEastAsia" w:cstheme="majorBidi"/>
      <w:i/>
      <w:iCs/>
      <w:color w:val="0F4761" w:themeColor="accent1" w:themeShade="BF"/>
      <w:lang w:val="es-ES_tradnl"/>
    </w:rPr>
  </w:style>
  <w:style w:type="character" w:customStyle="1" w:styleId="Ttulo5Car">
    <w:name w:val="Título 5 Car"/>
    <w:basedOn w:val="Fuentedeprrafopredeter"/>
    <w:link w:val="Ttulo5"/>
    <w:uiPriority w:val="9"/>
    <w:semiHidden/>
    <w:rsid w:val="0078713A"/>
    <w:rPr>
      <w:rFonts w:eastAsiaTheme="majorEastAsia" w:cstheme="majorBidi"/>
      <w:color w:val="0F4761" w:themeColor="accent1" w:themeShade="BF"/>
      <w:lang w:val="es-ES_tradnl"/>
    </w:rPr>
  </w:style>
  <w:style w:type="character" w:customStyle="1" w:styleId="Ttulo6Car">
    <w:name w:val="Título 6 Car"/>
    <w:basedOn w:val="Fuentedeprrafopredeter"/>
    <w:link w:val="Ttulo6"/>
    <w:uiPriority w:val="9"/>
    <w:semiHidden/>
    <w:rsid w:val="0078713A"/>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78713A"/>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78713A"/>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78713A"/>
    <w:rPr>
      <w:rFonts w:eastAsiaTheme="majorEastAsia" w:cstheme="majorBidi"/>
      <w:color w:val="272727" w:themeColor="text1" w:themeTint="D8"/>
      <w:lang w:val="es-ES_tradnl"/>
    </w:rPr>
  </w:style>
  <w:style w:type="paragraph" w:styleId="Ttulo">
    <w:name w:val="Title"/>
    <w:basedOn w:val="Normal"/>
    <w:next w:val="Normal"/>
    <w:link w:val="TtuloCar"/>
    <w:uiPriority w:val="10"/>
    <w:qFormat/>
    <w:rsid w:val="0078713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8713A"/>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78713A"/>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8713A"/>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78713A"/>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78713A"/>
    <w:rPr>
      <w:i/>
      <w:iCs/>
      <w:color w:val="404040" w:themeColor="text1" w:themeTint="BF"/>
      <w:lang w:val="es-ES_tradnl"/>
    </w:rPr>
  </w:style>
  <w:style w:type="paragraph" w:styleId="Prrafodelista">
    <w:name w:val="List Paragraph"/>
    <w:basedOn w:val="Normal"/>
    <w:uiPriority w:val="34"/>
    <w:qFormat/>
    <w:rsid w:val="0078713A"/>
    <w:pPr>
      <w:ind w:left="720"/>
      <w:contextualSpacing/>
    </w:pPr>
  </w:style>
  <w:style w:type="character" w:styleId="nfasisintenso">
    <w:name w:val="Intense Emphasis"/>
    <w:basedOn w:val="Fuentedeprrafopredeter"/>
    <w:uiPriority w:val="21"/>
    <w:qFormat/>
    <w:rsid w:val="0078713A"/>
    <w:rPr>
      <w:i/>
      <w:iCs/>
      <w:color w:val="0F4761" w:themeColor="accent1" w:themeShade="BF"/>
    </w:rPr>
  </w:style>
  <w:style w:type="paragraph" w:styleId="Citadestacada">
    <w:name w:val="Intense Quote"/>
    <w:basedOn w:val="Normal"/>
    <w:next w:val="Normal"/>
    <w:link w:val="CitadestacadaCar"/>
    <w:uiPriority w:val="30"/>
    <w:qFormat/>
    <w:rsid w:val="007871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8713A"/>
    <w:rPr>
      <w:i/>
      <w:iCs/>
      <w:color w:val="0F4761" w:themeColor="accent1" w:themeShade="BF"/>
      <w:lang w:val="es-ES_tradnl"/>
    </w:rPr>
  </w:style>
  <w:style w:type="character" w:styleId="Referenciaintensa">
    <w:name w:val="Intense Reference"/>
    <w:basedOn w:val="Fuentedeprrafopredeter"/>
    <w:uiPriority w:val="32"/>
    <w:qFormat/>
    <w:rsid w:val="0078713A"/>
    <w:rPr>
      <w:b/>
      <w:bCs/>
      <w:smallCaps/>
      <w:color w:val="0F4761" w:themeColor="accent1" w:themeShade="BF"/>
      <w:spacing w:val="5"/>
    </w:rPr>
  </w:style>
  <w:style w:type="paragraph" w:customStyle="1" w:styleId="isselectedend">
    <w:name w:val="isselectedend"/>
    <w:basedOn w:val="Normal"/>
    <w:rsid w:val="0078713A"/>
    <w:pPr>
      <w:spacing w:before="100" w:beforeAutospacing="1" w:after="100" w:afterAutospacing="1"/>
    </w:pPr>
    <w:rPr>
      <w:rFonts w:ascii="Times New Roman" w:eastAsia="Times New Roman" w:hAnsi="Times New Roman" w:cs="Times New Roman"/>
      <w:kern w:val="0"/>
      <w:lang w:val="es-MX" w:eastAsia="es-MX"/>
      <w14:ligatures w14:val="none"/>
    </w:rPr>
  </w:style>
  <w:style w:type="character" w:styleId="nfasis">
    <w:name w:val="Emphasis"/>
    <w:basedOn w:val="Fuentedeprrafopredeter"/>
    <w:uiPriority w:val="20"/>
    <w:qFormat/>
    <w:rsid w:val="0078713A"/>
    <w:rPr>
      <w:i/>
      <w:iCs/>
    </w:rPr>
  </w:style>
  <w:style w:type="character" w:styleId="Fuerte">
    <w:name w:val="Strong"/>
    <w:basedOn w:val="Fuentedeprrafopredeter"/>
    <w:uiPriority w:val="22"/>
    <w:qFormat/>
    <w:rsid w:val="0078713A"/>
    <w:rPr>
      <w:b/>
      <w:bCs/>
    </w:rPr>
  </w:style>
  <w:style w:type="paragraph" w:styleId="NormalWeb">
    <w:name w:val="Normal (Web)"/>
    <w:basedOn w:val="Normal"/>
    <w:uiPriority w:val="99"/>
    <w:semiHidden/>
    <w:unhideWhenUsed/>
    <w:rsid w:val="0078713A"/>
    <w:pPr>
      <w:spacing w:before="100" w:beforeAutospacing="1" w:after="100" w:afterAutospacing="1"/>
    </w:pPr>
    <w:rPr>
      <w:rFonts w:ascii="Times New Roman" w:eastAsia="Times New Roman" w:hAnsi="Times New Roman" w:cs="Times New Roman"/>
      <w:kern w:val="0"/>
      <w:lang w:val="es-MX" w:eastAsia="es-MX"/>
      <w14:ligatures w14:val="none"/>
    </w:rPr>
  </w:style>
  <w:style w:type="character" w:styleId="Hipervnculo">
    <w:name w:val="Hyperlink"/>
    <w:basedOn w:val="Fuentedeprrafopredeter"/>
    <w:uiPriority w:val="99"/>
    <w:unhideWhenUsed/>
    <w:rsid w:val="00BB1927"/>
    <w:rPr>
      <w:color w:val="467886" w:themeColor="hyperlink"/>
      <w:u w:val="single"/>
    </w:rPr>
  </w:style>
  <w:style w:type="character" w:styleId="Mencinsinresolver">
    <w:name w:val="Unresolved Mention"/>
    <w:basedOn w:val="Fuentedeprrafopredeter"/>
    <w:uiPriority w:val="99"/>
    <w:semiHidden/>
    <w:unhideWhenUsed/>
    <w:rsid w:val="00BB19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duran@consultoresrp.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889</Words>
  <Characters>4970</Characters>
  <Application>Microsoft Office Word</Application>
  <DocSecurity>0</DocSecurity>
  <Lines>104</Lines>
  <Paragraphs>25</Paragraphs>
  <ScaleCrop>false</ScaleCrop>
  <HeadingPairs>
    <vt:vector size="2" baseType="variant">
      <vt:variant>
        <vt:lpstr>Título</vt:lpstr>
      </vt:variant>
      <vt:variant>
        <vt:i4>1</vt:i4>
      </vt:variant>
    </vt:vector>
  </HeadingPairs>
  <TitlesOfParts>
    <vt:vector size="1" baseType="lpstr">
      <vt:lpstr/>
    </vt:vector>
  </TitlesOfParts>
  <Manager/>
  <Company>Microsoft Office User</Company>
  <LinksUpToDate>false</LinksUpToDate>
  <CharactersWithSpaces>5834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Vargas</dc:creator>
  <cp:keywords/>
  <dc:description/>
  <cp:lastModifiedBy>Christian Vargas</cp:lastModifiedBy>
  <cp:revision>3</cp:revision>
  <dcterms:created xsi:type="dcterms:W3CDTF">2026-08-27T03:13:00Z</dcterms:created>
  <dcterms:modified xsi:type="dcterms:W3CDTF">2026-08-27T03:13:00Z</dcterms:modified>
  <cp:category/>
</cp:coreProperties>
</file>